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4C08FF" w:rsidRPr="004C08FF">
        <w:trPr>
          <w:tblCellSpacing w:w="0" w:type="dxa"/>
          <w:jc w:val="center"/>
        </w:trPr>
        <w:tc>
          <w:tcPr>
            <w:tcW w:w="0" w:type="auto"/>
            <w:tcMar>
              <w:top w:w="30" w:type="dxa"/>
              <w:left w:w="0" w:type="dxa"/>
              <w:bottom w:w="150" w:type="dxa"/>
              <w:right w:w="0" w:type="dxa"/>
            </w:tcMar>
            <w:vAlign w:val="center"/>
            <w:hideMark/>
          </w:tcPr>
          <w:p w:rsidR="004C08FF" w:rsidRPr="004C08FF" w:rsidRDefault="004C08FF" w:rsidP="004C08FF">
            <w:pPr>
              <w:widowControl/>
              <w:spacing w:line="360" w:lineRule="auto"/>
              <w:jc w:val="center"/>
              <w:rPr>
                <w:rFonts w:ascii="ˎ̥" w:eastAsia="宋体" w:hAnsi="ˎ̥" w:cs="Arial"/>
                <w:b/>
                <w:bCs/>
                <w:color w:val="093A96"/>
                <w:kern w:val="0"/>
                <w:sz w:val="33"/>
                <w:szCs w:val="33"/>
              </w:rPr>
            </w:pPr>
            <w:r w:rsidRPr="004C08FF">
              <w:rPr>
                <w:rFonts w:ascii="ˎ̥" w:eastAsia="宋体" w:hAnsi="ˎ̥" w:cs="Arial"/>
                <w:b/>
                <w:bCs/>
                <w:color w:val="093A96"/>
                <w:kern w:val="0"/>
                <w:sz w:val="33"/>
                <w:szCs w:val="33"/>
              </w:rPr>
              <w:t>《医疗器械召回管理办法（试行）》（卫生部令第</w:t>
            </w:r>
            <w:r w:rsidRPr="004C08FF">
              <w:rPr>
                <w:rFonts w:ascii="ˎ̥" w:eastAsia="宋体" w:hAnsi="ˎ̥" w:cs="Arial"/>
                <w:b/>
                <w:bCs/>
                <w:color w:val="093A96"/>
                <w:kern w:val="0"/>
                <w:sz w:val="33"/>
                <w:szCs w:val="33"/>
              </w:rPr>
              <w:t>82</w:t>
            </w:r>
            <w:r w:rsidRPr="004C08FF">
              <w:rPr>
                <w:rFonts w:ascii="ˎ̥" w:eastAsia="宋体" w:hAnsi="ˎ̥" w:cs="Arial"/>
                <w:b/>
                <w:bCs/>
                <w:color w:val="093A96"/>
                <w:kern w:val="0"/>
                <w:sz w:val="33"/>
                <w:szCs w:val="33"/>
              </w:rPr>
              <w:t>号）</w:t>
            </w:r>
            <w:r w:rsidRPr="004C08FF">
              <w:rPr>
                <w:rFonts w:ascii="ˎ̥" w:eastAsia="宋体" w:hAnsi="ˎ̥" w:cs="Arial"/>
                <w:b/>
                <w:bCs/>
                <w:color w:val="093A96"/>
                <w:kern w:val="0"/>
                <w:sz w:val="33"/>
                <w:szCs w:val="33"/>
              </w:rPr>
              <w:t xml:space="preserve"> </w:t>
            </w:r>
          </w:p>
        </w:tc>
      </w:tr>
      <w:tr w:rsidR="004C08FF" w:rsidRPr="004C08FF">
        <w:trPr>
          <w:tblCellSpacing w:w="0" w:type="dxa"/>
          <w:jc w:val="center"/>
        </w:trPr>
        <w:tc>
          <w:tcPr>
            <w:tcW w:w="0" w:type="auto"/>
            <w:tcMar>
              <w:top w:w="150" w:type="dxa"/>
              <w:left w:w="0" w:type="dxa"/>
              <w:bottom w:w="0" w:type="dxa"/>
              <w:right w:w="0" w:type="dxa"/>
            </w:tcMar>
            <w:vAlign w:val="center"/>
            <w:hideMark/>
          </w:tcPr>
          <w:p w:rsidR="004C08FF" w:rsidRPr="004C08FF" w:rsidRDefault="004C08FF" w:rsidP="004C08FF">
            <w:pPr>
              <w:widowControl/>
              <w:spacing w:line="480" w:lineRule="auto"/>
              <w:jc w:val="center"/>
              <w:rPr>
                <w:rFonts w:ascii="ˎ̥" w:eastAsia="宋体" w:hAnsi="ˎ̥" w:cs="Arial"/>
                <w:color w:val="000000"/>
                <w:kern w:val="0"/>
                <w:szCs w:val="21"/>
              </w:rPr>
            </w:pPr>
          </w:p>
        </w:tc>
      </w:tr>
      <w:tr w:rsidR="004C08FF" w:rsidRPr="004C08FF">
        <w:trPr>
          <w:tblCellSpacing w:w="0" w:type="dxa"/>
          <w:jc w:val="center"/>
        </w:trPr>
        <w:tc>
          <w:tcPr>
            <w:tcW w:w="0" w:type="auto"/>
            <w:tcMar>
              <w:top w:w="120" w:type="dxa"/>
              <w:left w:w="0" w:type="dxa"/>
              <w:bottom w:w="0" w:type="dxa"/>
              <w:right w:w="0" w:type="dxa"/>
            </w:tcMar>
            <w:vAlign w:val="center"/>
            <w:hideMark/>
          </w:tcPr>
          <w:p w:rsidR="004C08FF" w:rsidRPr="004C08FF" w:rsidRDefault="004C08FF" w:rsidP="004C08FF">
            <w:pPr>
              <w:widowControl/>
              <w:spacing w:line="360" w:lineRule="auto"/>
              <w:jc w:val="right"/>
              <w:rPr>
                <w:rFonts w:ascii="ˎ̥" w:eastAsia="宋体" w:hAnsi="ˎ̥" w:cs="Arial"/>
                <w:color w:val="919191"/>
                <w:kern w:val="0"/>
                <w:szCs w:val="21"/>
              </w:rPr>
            </w:pPr>
            <w:r w:rsidRPr="004C08FF">
              <w:rPr>
                <w:rFonts w:ascii="ˎ̥" w:eastAsia="宋体" w:hAnsi="ˎ̥" w:cs="Arial"/>
                <w:color w:val="919191"/>
                <w:kern w:val="0"/>
                <w:szCs w:val="21"/>
              </w:rPr>
              <w:t>2011</w:t>
            </w:r>
            <w:r w:rsidRPr="004C08FF">
              <w:rPr>
                <w:rFonts w:ascii="ˎ̥" w:eastAsia="宋体" w:hAnsi="ˎ̥" w:cs="Arial"/>
                <w:color w:val="919191"/>
                <w:kern w:val="0"/>
                <w:szCs w:val="21"/>
              </w:rPr>
              <w:t>年</w:t>
            </w:r>
            <w:r w:rsidRPr="004C08FF">
              <w:rPr>
                <w:rFonts w:ascii="ˎ̥" w:eastAsia="宋体" w:hAnsi="ˎ̥" w:cs="Arial"/>
                <w:color w:val="919191"/>
                <w:kern w:val="0"/>
                <w:szCs w:val="21"/>
              </w:rPr>
              <w:t>05</w:t>
            </w:r>
            <w:r w:rsidRPr="004C08FF">
              <w:rPr>
                <w:rFonts w:ascii="ˎ̥" w:eastAsia="宋体" w:hAnsi="ˎ̥" w:cs="Arial"/>
                <w:color w:val="919191"/>
                <w:kern w:val="0"/>
                <w:szCs w:val="21"/>
              </w:rPr>
              <w:t>月</w:t>
            </w:r>
            <w:r w:rsidRPr="004C08FF">
              <w:rPr>
                <w:rFonts w:ascii="ˎ̥" w:eastAsia="宋体" w:hAnsi="ˎ̥" w:cs="Arial"/>
                <w:color w:val="919191"/>
                <w:kern w:val="0"/>
                <w:szCs w:val="21"/>
              </w:rPr>
              <w:t>20</w:t>
            </w:r>
            <w:r w:rsidRPr="004C08FF">
              <w:rPr>
                <w:rFonts w:ascii="ˎ̥" w:eastAsia="宋体" w:hAnsi="ˎ̥" w:cs="Arial"/>
                <w:color w:val="919191"/>
                <w:kern w:val="0"/>
                <w:szCs w:val="21"/>
              </w:rPr>
              <w:t>日</w:t>
            </w:r>
            <w:r w:rsidRPr="004C08FF">
              <w:rPr>
                <w:rFonts w:ascii="ˎ̥" w:eastAsia="宋体" w:hAnsi="ˎ̥" w:cs="Arial"/>
                <w:color w:val="919191"/>
                <w:kern w:val="0"/>
                <w:szCs w:val="21"/>
              </w:rPr>
              <w:t xml:space="preserve"> </w:t>
            </w:r>
            <w:r w:rsidRPr="004C08FF">
              <w:rPr>
                <w:rFonts w:ascii="ˎ̥" w:eastAsia="宋体" w:hAnsi="ˎ̥" w:cs="Arial"/>
                <w:color w:val="919191"/>
                <w:kern w:val="0"/>
                <w:szCs w:val="21"/>
              </w:rPr>
              <w:t>发布</w:t>
            </w:r>
            <w:r w:rsidRPr="004C08FF">
              <w:rPr>
                <w:rFonts w:ascii="ˎ̥" w:eastAsia="宋体" w:hAnsi="ˎ̥" w:cs="Arial"/>
                <w:color w:val="919191"/>
                <w:kern w:val="0"/>
                <w:szCs w:val="21"/>
              </w:rPr>
              <w:t xml:space="preserve"> </w:t>
            </w:r>
          </w:p>
        </w:tc>
      </w:tr>
      <w:tr w:rsidR="004C08FF" w:rsidRPr="004C08FF">
        <w:trPr>
          <w:trHeight w:val="60"/>
          <w:tblCellSpacing w:w="0" w:type="dxa"/>
          <w:jc w:val="center"/>
        </w:trPr>
        <w:tc>
          <w:tcPr>
            <w:tcW w:w="5000" w:type="pct"/>
            <w:vAlign w:val="center"/>
            <w:hideMark/>
          </w:tcPr>
          <w:p w:rsidR="004C08FF" w:rsidRPr="004C08FF" w:rsidRDefault="004C08FF" w:rsidP="004C08FF">
            <w:pPr>
              <w:widowControl/>
              <w:spacing w:line="408" w:lineRule="auto"/>
              <w:jc w:val="center"/>
              <w:rPr>
                <w:rFonts w:ascii="ˎ̥" w:eastAsia="宋体" w:hAnsi="ˎ̥" w:cs="Arial"/>
                <w:color w:val="000000"/>
                <w:kern w:val="0"/>
                <w:sz w:val="6"/>
                <w:szCs w:val="18"/>
              </w:rPr>
            </w:pPr>
          </w:p>
        </w:tc>
      </w:tr>
      <w:tr w:rsidR="004C08FF" w:rsidRPr="004C08FF">
        <w:trPr>
          <w:tblCellSpacing w:w="0" w:type="dxa"/>
          <w:jc w:val="center"/>
        </w:trPr>
        <w:tc>
          <w:tcPr>
            <w:tcW w:w="0" w:type="auto"/>
            <w:tcMar>
              <w:top w:w="300" w:type="dxa"/>
              <w:left w:w="0" w:type="dxa"/>
              <w:bottom w:w="0" w:type="dxa"/>
              <w:right w:w="0"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b/>
                <w:bCs/>
                <w:color w:val="FF0000"/>
                <w:kern w:val="0"/>
                <w:sz w:val="48"/>
                <w:szCs w:val="48"/>
              </w:rPr>
            </w:pPr>
            <w:r w:rsidRPr="004C08FF">
              <w:rPr>
                <w:rFonts w:ascii="宋体" w:eastAsia="宋体" w:hAnsi="宋体" w:cs="Arial"/>
                <w:b/>
                <w:bCs/>
                <w:color w:val="FF0000"/>
                <w:kern w:val="0"/>
                <w:sz w:val="48"/>
              </w:rPr>
              <w:t>中华人民共和国卫生部  令</w:t>
            </w:r>
          </w:p>
          <w:p w:rsidR="004C08FF" w:rsidRPr="004C08FF" w:rsidRDefault="004C08FF" w:rsidP="004C08FF">
            <w:pPr>
              <w:widowControl/>
              <w:wordWrap w:val="0"/>
              <w:spacing w:before="100" w:beforeAutospacing="1" w:after="100" w:afterAutospacing="1" w:line="480" w:lineRule="auto"/>
              <w:jc w:val="left"/>
              <w:rPr>
                <w:rFonts w:ascii="ˎ̥" w:eastAsia="宋体" w:hAnsi="ˎ̥" w:cs="宋体"/>
                <w:color w:val="000000"/>
                <w:kern w:val="0"/>
                <w:szCs w:val="21"/>
              </w:rPr>
            </w:pP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第</w:t>
            </w:r>
            <w:r w:rsidRPr="004C08FF">
              <w:rPr>
                <w:rFonts w:ascii="ˎ̥" w:eastAsia="宋体" w:hAnsi="ˎ̥" w:cs="Arial"/>
                <w:color w:val="000000"/>
                <w:kern w:val="0"/>
                <w:szCs w:val="21"/>
              </w:rPr>
              <w:t> 82</w:t>
            </w:r>
            <w:r w:rsidRPr="004C08FF">
              <w:rPr>
                <w:rFonts w:ascii="ˎ̥" w:eastAsia="宋体" w:hAnsi="ˎ̥" w:cs="Arial"/>
                <w:color w:val="000000"/>
                <w:kern w:val="0"/>
                <w:szCs w:val="21"/>
              </w:rPr>
              <w:t>号</w:t>
            </w:r>
            <w:r w:rsidRPr="004C08FF">
              <w:rPr>
                <w:rFonts w:ascii="ˎ̥" w:eastAsia="宋体" w:hAnsi="ˎ̥" w:cs="Arial"/>
                <w:color w:val="000000"/>
                <w:kern w:val="0"/>
                <w:sz w:val="18"/>
                <w:szCs w:val="18"/>
              </w:rPr>
              <w:br/>
            </w:r>
            <w:r w:rsidRPr="004C08FF">
              <w:rPr>
                <w:rFonts w:ascii="ˎ̥" w:eastAsia="宋体" w:hAnsi="ˎ̥" w:cs="Arial"/>
                <w:color w:val="000000"/>
                <w:kern w:val="0"/>
                <w:sz w:val="18"/>
                <w:szCs w:val="18"/>
              </w:rPr>
              <w:br/>
            </w:r>
            <w:r w:rsidRPr="004C08FF">
              <w:rPr>
                <w:rFonts w:ascii="ˎ̥" w:eastAsia="宋体" w:hAnsi="ˎ̥" w:cs="Arial"/>
                <w:color w:val="000000"/>
                <w:kern w:val="0"/>
                <w:sz w:val="18"/>
                <w:szCs w:val="18"/>
              </w:rPr>
              <w:br/>
            </w:r>
            <w:r w:rsidRPr="004C08FF">
              <w:rPr>
                <w:rFonts w:ascii="ˎ̥" w:eastAsia="宋体" w:hAnsi="ˎ̥" w:cs="Arial"/>
                <w:color w:val="000000"/>
                <w:kern w:val="0"/>
                <w:szCs w:val="21"/>
              </w:rPr>
              <w:t> </w:t>
            </w:r>
            <w:r w:rsidRPr="004C08FF">
              <w:rPr>
                <w:rFonts w:ascii="ˎ̥" w:eastAsia="宋体" w:hAnsi="ˎ̥" w:cs="Arial"/>
                <w:color w:val="000000"/>
                <w:kern w:val="0"/>
                <w:szCs w:val="21"/>
              </w:rPr>
              <w:t xml:space="preserve">　　《医疗器械召回管理办法（试行）》已于</w:t>
            </w:r>
            <w:r w:rsidRPr="004C08FF">
              <w:rPr>
                <w:rFonts w:ascii="ˎ̥" w:eastAsia="宋体" w:hAnsi="ˎ̥" w:cs="Arial"/>
                <w:color w:val="000000"/>
                <w:kern w:val="0"/>
                <w:szCs w:val="21"/>
              </w:rPr>
              <w:t>2010</w:t>
            </w:r>
            <w:r w:rsidRPr="004C08FF">
              <w:rPr>
                <w:rFonts w:ascii="ˎ̥" w:eastAsia="宋体" w:hAnsi="ˎ̥" w:cs="Arial"/>
                <w:color w:val="000000"/>
                <w:kern w:val="0"/>
                <w:szCs w:val="21"/>
              </w:rPr>
              <w:t>年</w:t>
            </w:r>
            <w:r w:rsidRPr="004C08FF">
              <w:rPr>
                <w:rFonts w:ascii="ˎ̥" w:eastAsia="宋体" w:hAnsi="ˎ̥" w:cs="Arial"/>
                <w:color w:val="000000"/>
                <w:kern w:val="0"/>
                <w:szCs w:val="21"/>
              </w:rPr>
              <w:t>6</w:t>
            </w:r>
            <w:r w:rsidRPr="004C08FF">
              <w:rPr>
                <w:rFonts w:ascii="ˎ̥" w:eastAsia="宋体" w:hAnsi="ˎ̥" w:cs="Arial"/>
                <w:color w:val="000000"/>
                <w:kern w:val="0"/>
                <w:szCs w:val="21"/>
              </w:rPr>
              <w:t>月</w:t>
            </w:r>
            <w:r w:rsidRPr="004C08FF">
              <w:rPr>
                <w:rFonts w:ascii="ˎ̥" w:eastAsia="宋体" w:hAnsi="ˎ̥" w:cs="Arial"/>
                <w:color w:val="000000"/>
                <w:kern w:val="0"/>
                <w:szCs w:val="21"/>
              </w:rPr>
              <w:t>28</w:t>
            </w:r>
            <w:r w:rsidRPr="004C08FF">
              <w:rPr>
                <w:rFonts w:ascii="ˎ̥" w:eastAsia="宋体" w:hAnsi="ˎ̥" w:cs="Arial"/>
                <w:color w:val="000000"/>
                <w:kern w:val="0"/>
                <w:szCs w:val="21"/>
              </w:rPr>
              <w:t>日经卫生部部务会议审议通过，现予以发布，自</w:t>
            </w:r>
            <w:r w:rsidRPr="004C08FF">
              <w:rPr>
                <w:rFonts w:ascii="ˎ̥" w:eastAsia="宋体" w:hAnsi="ˎ̥" w:cs="Arial"/>
                <w:color w:val="000000"/>
                <w:kern w:val="0"/>
                <w:szCs w:val="21"/>
              </w:rPr>
              <w:t>2011</w:t>
            </w:r>
            <w:r w:rsidRPr="004C08FF">
              <w:rPr>
                <w:rFonts w:ascii="ˎ̥" w:eastAsia="宋体" w:hAnsi="ˎ̥" w:cs="Arial"/>
                <w:color w:val="000000"/>
                <w:kern w:val="0"/>
                <w:szCs w:val="21"/>
              </w:rPr>
              <w:t>年</w:t>
            </w:r>
            <w:r w:rsidRPr="004C08FF">
              <w:rPr>
                <w:rFonts w:ascii="ˎ̥" w:eastAsia="宋体" w:hAnsi="ˎ̥" w:cs="Arial"/>
                <w:color w:val="000000"/>
                <w:kern w:val="0"/>
                <w:szCs w:val="21"/>
              </w:rPr>
              <w:t>7</w:t>
            </w:r>
            <w:r w:rsidRPr="004C08FF">
              <w:rPr>
                <w:rFonts w:ascii="ˎ̥" w:eastAsia="宋体" w:hAnsi="ˎ̥" w:cs="Arial"/>
                <w:color w:val="000000"/>
                <w:kern w:val="0"/>
                <w:szCs w:val="21"/>
              </w:rPr>
              <w:t>月</w:t>
            </w:r>
            <w:r w:rsidRPr="004C08FF">
              <w:rPr>
                <w:rFonts w:ascii="ˎ̥" w:eastAsia="宋体" w:hAnsi="ˎ̥" w:cs="Arial"/>
                <w:color w:val="000000"/>
                <w:kern w:val="0"/>
                <w:szCs w:val="21"/>
              </w:rPr>
              <w:t>1</w:t>
            </w:r>
            <w:r w:rsidRPr="004C08FF">
              <w:rPr>
                <w:rFonts w:ascii="ˎ̥" w:eastAsia="宋体" w:hAnsi="ˎ̥" w:cs="Arial"/>
                <w:color w:val="000000"/>
                <w:kern w:val="0"/>
                <w:szCs w:val="21"/>
              </w:rPr>
              <w:t>日起施行。</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部　</w:t>
            </w:r>
            <w:proofErr w:type="gramStart"/>
            <w:r w:rsidRPr="004C08FF">
              <w:rPr>
                <w:rFonts w:ascii="ˎ̥" w:eastAsia="宋体" w:hAnsi="ˎ̥" w:cs="Arial"/>
                <w:color w:val="000000"/>
                <w:kern w:val="0"/>
                <w:szCs w:val="21"/>
              </w:rPr>
              <w:t xml:space="preserve">长　　</w:t>
            </w:r>
            <w:proofErr w:type="gramEnd"/>
            <w:r w:rsidRPr="004C08FF">
              <w:rPr>
                <w:rFonts w:ascii="ˎ̥" w:eastAsia="宋体" w:hAnsi="ˎ̥" w:cs="Arial"/>
                <w:color w:val="000000"/>
                <w:kern w:val="0"/>
                <w:szCs w:val="21"/>
              </w:rPr>
              <w:t xml:space="preserve">陈　</w:t>
            </w:r>
            <w:proofErr w:type="gramStart"/>
            <w:r w:rsidRPr="004C08FF">
              <w:rPr>
                <w:rFonts w:ascii="ˎ̥" w:eastAsia="宋体" w:hAnsi="ˎ̥" w:cs="Arial"/>
                <w:color w:val="000000"/>
                <w:kern w:val="0"/>
                <w:szCs w:val="21"/>
              </w:rPr>
              <w:t>竺</w:t>
            </w:r>
            <w:proofErr w:type="gramEnd"/>
            <w:r w:rsidRPr="004C08FF">
              <w:rPr>
                <w:rFonts w:ascii="ˎ̥" w:eastAsia="宋体" w:hAnsi="ˎ̥" w:cs="Arial"/>
                <w:color w:val="000000"/>
                <w:kern w:val="0"/>
                <w:sz w:val="18"/>
                <w:szCs w:val="18"/>
              </w:rPr>
              <w:br/>
            </w:r>
            <w:proofErr w:type="gramStart"/>
            <w:r w:rsidRPr="004C08FF">
              <w:rPr>
                <w:rFonts w:ascii="ˎ̥" w:eastAsia="宋体" w:hAnsi="ˎ̥" w:cs="Arial"/>
                <w:color w:val="000000"/>
                <w:kern w:val="0"/>
                <w:szCs w:val="21"/>
              </w:rPr>
              <w:t xml:space="preserve">　　　　　　　　　　　　　　　　　　　　　　　　</w:t>
            </w:r>
            <w:proofErr w:type="gramEnd"/>
            <w:r w:rsidRPr="004C08FF">
              <w:rPr>
                <w:rFonts w:ascii="ˎ̥" w:eastAsia="宋体" w:hAnsi="ˎ̥" w:cs="Arial"/>
                <w:color w:val="000000"/>
                <w:kern w:val="0"/>
                <w:szCs w:val="21"/>
              </w:rPr>
              <w:t xml:space="preserve"> </w:t>
            </w:r>
            <w:r w:rsidRPr="004C08FF">
              <w:rPr>
                <w:rFonts w:ascii="ˎ̥" w:eastAsia="宋体" w:hAnsi="ˎ̥" w:cs="Arial"/>
                <w:color w:val="000000"/>
                <w:kern w:val="0"/>
                <w:szCs w:val="21"/>
              </w:rPr>
              <w:t>二</w:t>
            </w:r>
            <w:r w:rsidRPr="004C08FF">
              <w:rPr>
                <w:rFonts w:ascii="ˎ̥" w:eastAsia="宋体" w:hAnsi="ˎ̥" w:cs="Arial"/>
                <w:color w:val="000000"/>
                <w:kern w:val="0"/>
                <w:szCs w:val="21"/>
              </w:rPr>
              <w:t>○</w:t>
            </w:r>
            <w:r w:rsidRPr="004C08FF">
              <w:rPr>
                <w:rFonts w:ascii="ˎ̥" w:eastAsia="宋体" w:hAnsi="ˎ̥" w:cs="Arial"/>
                <w:color w:val="000000"/>
                <w:kern w:val="0"/>
                <w:szCs w:val="21"/>
              </w:rPr>
              <w:t>一一年五月二十日</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w:t>
            </w:r>
            <w:r w:rsidRPr="004C08FF">
              <w:rPr>
                <w:rFonts w:ascii="ˎ̥" w:eastAsia="宋体" w:hAnsi="ˎ̥" w:cs="Arial"/>
                <w:color w:val="000000"/>
                <w:kern w:val="0"/>
                <w:szCs w:val="21"/>
              </w:rPr>
              <w:t xml:space="preserve"> </w:t>
            </w:r>
            <w:r w:rsidRPr="004C08FF">
              <w:rPr>
                <w:rFonts w:ascii="ˎ̥" w:eastAsia="宋体" w:hAnsi="ˎ̥" w:cs="Arial"/>
                <w:color w:val="000000"/>
                <w:kern w:val="0"/>
                <w:szCs w:val="21"/>
              </w:rPr>
              <w:t>医疗器械召回管理办法（试行）</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第一章　总　则</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t xml:space="preserve">　　第一条　为加强对医疗器械的监督管理，保障人体健康和生命安全，根据《医疗器械监督管理条例》、《国务院关于加强食品等产品安全监督管理的特别规定》，制定本办法。</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lastRenderedPageBreak/>
              <w:t xml:space="preserve">　　第二条　在中华人民共和国境内销售的医疗器械的召回及其监督管理，适用本办法。</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t xml:space="preserve">　　第三条　本办法所称医疗器械召回，是指医疗器械生产企业按照规定的程序对其已上市销售的存在缺陷的某一类别、型号或者批次的产品，采取警示、检查、修理、重新标签、修改并完善说明书、软件升级、替换、收回、销毁等方式消除缺陷的行为。</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t xml:space="preserve">　　第四条　本办法所称缺陷，是指医疗器械在正常使用情况下存在可能危及人体健康和生命安全的不合理的风险。</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t xml:space="preserve">　　第五条　医疗器械生产企业是控制与消除产品缺陷的主体，应当对其生产的产品安全负责。</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t xml:space="preserve">　　第六条　医疗器械生产企业应当按照本办法的规定建立和完善医疗器械召回制度，收集医疗器械安全的相关信息，对可能存在缺陷的医疗器械进行调查、评估，及时召回存在缺陷的医疗器械。</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医疗器械经营企业、使用单位应当协助医疗器械生产企业履行召回义务，按照召回计划的要求及时传达、反馈医疗器械召回信息，控制和收回存在缺陷的医疗器械。</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t xml:space="preserve">　　第七条　医疗器械经营企业、使用单位发现其经营、使用的医疗器械存在缺陷的，应当立即暂停销售或者使用该医疗器械，及时通知医疗器械生产企业或者供货商，并向所在地省、自治区、直辖市药品监督管理部门报告；使用单位为医疗机构的，还应当同时向所在地省、自治区、直辖市卫生行政部门报告。</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医疗器械经营企业、使用单位所在地省、自治区、直辖市药品监督管理部门收到报告后，应当及时通报医疗器械生产企业所在地省、自治区、直辖市药品监督管理部门。</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lastRenderedPageBreak/>
              <w:t xml:space="preserve">　　第八条　召回医疗器械的生产企业、进口医疗器械的境外制造厂商在中国境内指定的代理人所在地省、自治区、直辖市药品监督管理部门负责医疗器械召回的监督管理工作，其他省、自治区、直辖市药品监督管理部门应当配合、协助做好本辖区内医疗器械召回的有关工作。</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国家食品药品监督管理局监督全国医疗器械召回的管理工作。</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t xml:space="preserve">　　第九条　国家食品药品监督管理局和省、自治区、直辖市药品监督管理部门应当建立医疗器械召回信息通报和公开制度，及时向同级卫生行政部门通报相关信息，采取有效途径向社会公布存在缺陷的医疗器械信息和医疗器械召回的情况。</w:t>
            </w:r>
          </w:p>
        </w:tc>
      </w:tr>
    </w:tbl>
    <w:p w:rsidR="004C08FF" w:rsidRPr="004C08FF" w:rsidRDefault="004C08FF" w:rsidP="004C08FF">
      <w:pPr>
        <w:widowControl/>
        <w:wordWrap w:val="0"/>
        <w:spacing w:line="480" w:lineRule="auto"/>
        <w:jc w:val="left"/>
        <w:rPr>
          <w:rFonts w:ascii="ˎ̥" w:eastAsia="宋体" w:hAnsi="ˎ̥" w:cs="Arial"/>
          <w:color w:val="000000"/>
          <w:kern w:val="0"/>
          <w:szCs w:val="21"/>
        </w:rPr>
      </w:pPr>
      <w:r w:rsidRPr="004C08FF">
        <w:rPr>
          <w:rFonts w:ascii="ˎ̥" w:eastAsia="宋体" w:hAnsi="ˎ̥" w:cs="Arial"/>
          <w:color w:val="000000"/>
          <w:kern w:val="0"/>
          <w:szCs w:val="21"/>
        </w:rPr>
        <w:lastRenderedPageBreak/>
        <w:t>第二章　医疗器械缺陷的调查与评估</w:t>
      </w:r>
      <w:r w:rsidRPr="004C08FF">
        <w:rPr>
          <w:rFonts w:ascii="ˎ̥" w:eastAsia="宋体" w:hAnsi="ˎ̥" w:cs="Arial"/>
          <w:color w:val="000000"/>
          <w:kern w:val="0"/>
          <w:szCs w:val="21"/>
        </w:rPr>
        <w:t xml:space="preserve"> </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t xml:space="preserve">　　第十条　医疗器械生产企业应当建立健全医疗器械质量管理体系和医疗器械不良事件监测系统，收集、记录医疗器械的质量问题与医疗器械不良事件信息，对收集的信息进行分析，对医疗器械可能存在的缺陷进行调查和评估。</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医疗器械经营企业、使用单位应当配合医疗器械生产企业开展有关医疗器械缺陷的调查，并提供有关资料。</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t xml:space="preserve">　　第十一条　医疗器械生产企业应当按照规定及时将收集的医疗器械不良事件信息向药品监督管理部门报告，药品监督管理部门可以对医疗器械不良事件信息或者可能存在的缺陷进行分析和调查，医疗器械生产企业、经营企业、使用单位应当予以协助。</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t xml:space="preserve">　　第十二条　对医疗器械缺陷进行评估的主要内容包括：</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（一）在使用医疗器械过程中是否发生过故障或者伤害；</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（二）在现有使用环境下是否会造成伤害，是否有科学文献、研究、相关试验或者验证</w:t>
      </w:r>
      <w:r w:rsidRPr="004C08FF">
        <w:rPr>
          <w:rFonts w:ascii="ˎ̥" w:eastAsia="宋体" w:hAnsi="ˎ̥" w:cs="Arial"/>
          <w:color w:val="000000"/>
          <w:kern w:val="0"/>
          <w:szCs w:val="21"/>
        </w:rPr>
        <w:lastRenderedPageBreak/>
        <w:t>能够解释伤害发生的原因；</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（三）伤害所涉及的地区范围和人群特点；</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（四）对人体健康造成的伤害程度；</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（五）伤害发生的概率；</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（六）发生伤害的短期和长期后果；</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（七）其他可能对人体造成伤害的因素。</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t xml:space="preserve">　　第十三条　根据医疗器械缺陷的严重程度，医疗器械召回分为：</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（一）一级召回：使用该医疗器械可能或者已经引起严重健康危害的；</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（二）二级召回：使用该医疗器械可能或者已经引起暂时的或者可逆的健康危害的；</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（三）三级召回：使用该医疗器械引起危害的可能性较小但仍需要召回的。</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医疗器械生产企业应当根据召回分级与医疗器械销售和使用情况，科学设计召回计划并组织实施。</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w:t>
      </w:r>
      <w:r w:rsidRPr="004C08FF">
        <w:rPr>
          <w:rFonts w:ascii="ˎ̥" w:eastAsia="宋体" w:hAnsi="ˎ̥" w:cs="Arial"/>
          <w:color w:val="000000"/>
          <w:kern w:val="0"/>
          <w:szCs w:val="21"/>
        </w:rPr>
        <w:t xml:space="preserve"> </w:t>
      </w:r>
      <w:r w:rsidRPr="004C08FF">
        <w:rPr>
          <w:rFonts w:ascii="ˎ̥" w:eastAsia="宋体" w:hAnsi="ˎ̥" w:cs="Arial"/>
          <w:color w:val="000000"/>
          <w:kern w:val="0"/>
          <w:szCs w:val="21"/>
        </w:rPr>
        <w:t>第三章　主动召回</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t xml:space="preserve">　　第十四条　医疗器械生产企业按照本办法　　第十条、　　第十二条的要求进行调查评估后，发现医疗器械存在缺陷的，应当立即决定召回。</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进口医疗器械的境外制造厂商在境外实施医疗器械召回的，应当通知其在中国境内指定的代理人及时报告国家食品药品监督管理局；在境内进行召回的，由其在中国境内指定的代理人按照本办法的规定负责具体实施。</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lastRenderedPageBreak/>
        <w:t xml:space="preserve">　　第十五条　医疗器械生产企业做出医疗器械召回决定的，一级召回在</w:t>
      </w:r>
      <w:r w:rsidRPr="004C08FF">
        <w:rPr>
          <w:rFonts w:ascii="ˎ̥" w:eastAsia="宋体" w:hAnsi="ˎ̥" w:cs="Arial"/>
          <w:color w:val="000000"/>
          <w:kern w:val="0"/>
          <w:szCs w:val="21"/>
        </w:rPr>
        <w:t>1</w:t>
      </w:r>
      <w:r w:rsidRPr="004C08FF">
        <w:rPr>
          <w:rFonts w:ascii="ˎ̥" w:eastAsia="宋体" w:hAnsi="ˎ̥" w:cs="Arial"/>
          <w:color w:val="000000"/>
          <w:kern w:val="0"/>
          <w:szCs w:val="21"/>
        </w:rPr>
        <w:t>日内，二级召回在</w:t>
      </w:r>
      <w:r w:rsidRPr="004C08FF">
        <w:rPr>
          <w:rFonts w:ascii="ˎ̥" w:eastAsia="宋体" w:hAnsi="ˎ̥" w:cs="Arial"/>
          <w:color w:val="000000"/>
          <w:kern w:val="0"/>
          <w:szCs w:val="21"/>
        </w:rPr>
        <w:t>3</w:t>
      </w:r>
      <w:r w:rsidRPr="004C08FF">
        <w:rPr>
          <w:rFonts w:ascii="ˎ̥" w:eastAsia="宋体" w:hAnsi="ˎ̥" w:cs="Arial"/>
          <w:color w:val="000000"/>
          <w:kern w:val="0"/>
          <w:szCs w:val="21"/>
        </w:rPr>
        <w:t>日内，三级召回在</w:t>
      </w:r>
      <w:r w:rsidRPr="004C08FF">
        <w:rPr>
          <w:rFonts w:ascii="ˎ̥" w:eastAsia="宋体" w:hAnsi="ˎ̥" w:cs="Arial"/>
          <w:color w:val="000000"/>
          <w:kern w:val="0"/>
          <w:szCs w:val="21"/>
        </w:rPr>
        <w:t>7</w:t>
      </w:r>
      <w:r w:rsidRPr="004C08FF">
        <w:rPr>
          <w:rFonts w:ascii="ˎ̥" w:eastAsia="宋体" w:hAnsi="ˎ̥" w:cs="Arial"/>
          <w:color w:val="000000"/>
          <w:kern w:val="0"/>
          <w:szCs w:val="21"/>
        </w:rPr>
        <w:t>日内，通知到有关医疗器械经营企业、使用单位或者告知使用者。</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召回通知至少应当包括以下内容：</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（一）召回医疗器械名称、批次等基本信息；</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（二）召回的原因；</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（三）召回的要求：如立即暂停销售和使用该产品、将召回通知转发到相关经营企业或者使用单位等；</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（四）召回医疗器械的处理方式。</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t xml:space="preserve">　第十六条　医疗器械生产企业做出医疗器械召回决定的，应当立即书面告知所在地省、自治区、直辖市药品监督管理部门，并且在</w:t>
      </w:r>
      <w:r w:rsidRPr="004C08FF">
        <w:rPr>
          <w:rFonts w:ascii="ˎ̥" w:eastAsia="宋体" w:hAnsi="ˎ̥" w:cs="Arial"/>
          <w:color w:val="000000"/>
          <w:kern w:val="0"/>
          <w:szCs w:val="21"/>
        </w:rPr>
        <w:t>5</w:t>
      </w:r>
      <w:r w:rsidRPr="004C08FF">
        <w:rPr>
          <w:rFonts w:ascii="ˎ̥" w:eastAsia="宋体" w:hAnsi="ˎ̥" w:cs="Arial"/>
          <w:color w:val="000000"/>
          <w:kern w:val="0"/>
          <w:szCs w:val="21"/>
        </w:rPr>
        <w:t>日内填写《医疗器械召回事件报告表》（见附表</w:t>
      </w:r>
      <w:r w:rsidRPr="004C08FF">
        <w:rPr>
          <w:rFonts w:ascii="ˎ̥" w:eastAsia="宋体" w:hAnsi="ˎ̥" w:cs="Arial"/>
          <w:color w:val="000000"/>
          <w:kern w:val="0"/>
          <w:szCs w:val="21"/>
        </w:rPr>
        <w:t>1</w:t>
      </w:r>
      <w:r w:rsidRPr="004C08FF">
        <w:rPr>
          <w:rFonts w:ascii="ˎ̥" w:eastAsia="宋体" w:hAnsi="ˎ̥" w:cs="Arial"/>
          <w:color w:val="000000"/>
          <w:kern w:val="0"/>
          <w:szCs w:val="21"/>
        </w:rPr>
        <w:t>），将调查评估报告和召回计划同时提交给所在地省、自治区、直辖市药品监督管理部门备案。</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省、自治区、直辖市药品监督管理部门应当将一级召回的有关情况及时报告国家食品药品监督管理局。</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t xml:space="preserve">　　第十七条　调查评估报告应当包括以下内容：</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（一）召回医疗器械的具体情况，包括名称、批次等基本信息；</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（二）实施召回的原因；</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（三）调查评估结果；</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（四）召回分级。</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召回计划应当包括以下内容：</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（一）医疗器械生产销售情况及拟召回的数量；</w:t>
      </w:r>
      <w:r w:rsidRPr="004C08FF">
        <w:rPr>
          <w:rFonts w:ascii="ˎ̥" w:eastAsia="宋体" w:hAnsi="ˎ̥" w:cs="Arial"/>
          <w:color w:val="000000"/>
          <w:kern w:val="0"/>
          <w:sz w:val="18"/>
          <w:szCs w:val="18"/>
        </w:rPr>
        <w:br/>
      </w:r>
      <w:r w:rsidRPr="004C08FF">
        <w:rPr>
          <w:rFonts w:ascii="ˎ̥" w:eastAsia="宋体" w:hAnsi="ˎ̥" w:cs="Arial"/>
          <w:color w:val="000000"/>
          <w:kern w:val="0"/>
          <w:szCs w:val="21"/>
        </w:rPr>
        <w:lastRenderedPageBreak/>
        <w:t xml:space="preserve">　　（二）召回措施的具体内容，包括实施的组织、范围和时限等；</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（三）召回信息的公布途径与范围；</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（四）召回的预期效果；</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（五）医疗器械召回后的处理措施。</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t xml:space="preserve">　　第十八条　药品监督管理部门可以根据实际情况组织专家对医疗器械生产企业提交的召回计划进行评估，认为医疗器械生产企业所采取的措施不能有效消除缺陷的，应当要求医疗器械生产企业采取提高召回等级、扩大召回范围、缩短召回时间或者改变召回产品的处理方式等更为有效的措施。</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t xml:space="preserve">　　第十九条　医疗器械生产企业对上报的召回计划进行变更的，应当及时报药品监督管理部门备案。</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t xml:space="preserve">　　第二十条　医疗器械生产企业在实施召回的过程中，应当根据召回计划定期向药品监督管理部门提交《召回计划实施情况报告》（见附表</w:t>
      </w:r>
      <w:r w:rsidRPr="004C08FF">
        <w:rPr>
          <w:rFonts w:ascii="ˎ̥" w:eastAsia="宋体" w:hAnsi="ˎ̥" w:cs="Arial"/>
          <w:color w:val="000000"/>
          <w:kern w:val="0"/>
          <w:szCs w:val="21"/>
        </w:rPr>
        <w:t>2</w:t>
      </w:r>
      <w:r w:rsidRPr="004C08FF">
        <w:rPr>
          <w:rFonts w:ascii="ˎ̥" w:eastAsia="宋体" w:hAnsi="ˎ̥" w:cs="Arial"/>
          <w:color w:val="000000"/>
          <w:kern w:val="0"/>
          <w:szCs w:val="21"/>
        </w:rPr>
        <w:t>），报告召回计划实施情况。</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t xml:space="preserve">　　第二十一条　医疗器械生产企业对召回医疗器械的处理应当有详细的记录，并向医疗器械生产企业所在地省、自治区、直辖市药品监督管理部门报告。对通过警示、检查、修理、重新标签、修改并完善说明书、软件升级、替换、销毁等方式能够消除产品缺陷的，可以在产品所在地完成上述行为。需要销毁的，应当在销毁地药品监督管理部门监督下销毁。</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t xml:space="preserve">　　第二十二条　医疗器械生产企业在召回完成后，应当对召回效果进行评价，并在召回完成后</w:t>
      </w:r>
      <w:r w:rsidRPr="004C08FF">
        <w:rPr>
          <w:rFonts w:ascii="ˎ̥" w:eastAsia="宋体" w:hAnsi="ˎ̥" w:cs="Arial"/>
          <w:color w:val="000000"/>
          <w:kern w:val="0"/>
          <w:szCs w:val="21"/>
        </w:rPr>
        <w:t>10</w:t>
      </w:r>
      <w:r w:rsidRPr="004C08FF">
        <w:rPr>
          <w:rFonts w:ascii="ˎ̥" w:eastAsia="宋体" w:hAnsi="ˎ̥" w:cs="Arial"/>
          <w:color w:val="000000"/>
          <w:kern w:val="0"/>
          <w:szCs w:val="21"/>
        </w:rPr>
        <w:t>日内向药品监督管理部门提交医疗器械召回总结报告。</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lastRenderedPageBreak/>
        <w:t xml:space="preserve">　　第二十三条　药品监督管理部门应当自收到总结报告之日起</w:t>
      </w:r>
      <w:r w:rsidRPr="004C08FF">
        <w:rPr>
          <w:rFonts w:ascii="ˎ̥" w:eastAsia="宋体" w:hAnsi="ˎ̥" w:cs="Arial"/>
          <w:color w:val="000000"/>
          <w:kern w:val="0"/>
          <w:szCs w:val="21"/>
        </w:rPr>
        <w:t>10</w:t>
      </w:r>
      <w:r w:rsidRPr="004C08FF">
        <w:rPr>
          <w:rFonts w:ascii="ˎ̥" w:eastAsia="宋体" w:hAnsi="ˎ̥" w:cs="Arial"/>
          <w:color w:val="000000"/>
          <w:kern w:val="0"/>
          <w:szCs w:val="21"/>
        </w:rPr>
        <w:t>日内对报告进行审查，并对召回效果进行评价。审查和评价结论应当以书面形式通知医疗器械生产企业并抄送同级卫生行政部门。</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t>经过审查和评价，认为召回不彻底，尚未有效消除缺陷的，药品监督管理部门应当要求医疗器械生产企业重新召回。</w:t>
      </w:r>
    </w:p>
    <w:p w:rsidR="004C08FF" w:rsidRPr="004C08FF" w:rsidRDefault="004C08FF" w:rsidP="004C08FF">
      <w:pPr>
        <w:widowControl/>
        <w:wordWrap w:val="0"/>
        <w:spacing w:line="480" w:lineRule="auto"/>
        <w:jc w:val="left"/>
        <w:rPr>
          <w:rFonts w:ascii="ˎ̥" w:eastAsia="宋体" w:hAnsi="ˎ̥" w:cs="Arial"/>
          <w:color w:val="000000"/>
          <w:kern w:val="0"/>
          <w:szCs w:val="21"/>
        </w:rPr>
      </w:pPr>
      <w:r w:rsidRPr="004C08FF">
        <w:rPr>
          <w:rFonts w:ascii="ˎ̥" w:eastAsia="宋体" w:hAnsi="ˎ̥" w:cs="Arial"/>
          <w:color w:val="000000"/>
          <w:kern w:val="0"/>
          <w:szCs w:val="21"/>
        </w:rPr>
        <w:t xml:space="preserve">　　　</w:t>
      </w:r>
      <w:r w:rsidRPr="004C08FF">
        <w:rPr>
          <w:rFonts w:ascii="ˎ̥" w:eastAsia="宋体" w:hAnsi="ˎ̥" w:cs="Arial"/>
          <w:color w:val="000000"/>
          <w:kern w:val="0"/>
          <w:szCs w:val="21"/>
        </w:rPr>
        <w:t xml:space="preserve"> </w:t>
      </w:r>
      <w:r w:rsidRPr="004C08FF">
        <w:rPr>
          <w:rFonts w:ascii="ˎ̥" w:eastAsia="宋体" w:hAnsi="ˎ̥" w:cs="Arial"/>
          <w:color w:val="000000"/>
          <w:kern w:val="0"/>
          <w:szCs w:val="21"/>
        </w:rPr>
        <w:t>第四章　责令召回</w:t>
      </w:r>
      <w:r w:rsidRPr="004C08FF">
        <w:rPr>
          <w:rFonts w:ascii="ˎ̥" w:eastAsia="宋体" w:hAnsi="ˎ̥" w:cs="Arial"/>
          <w:color w:val="000000"/>
          <w:kern w:val="0"/>
          <w:szCs w:val="21"/>
        </w:rPr>
        <w:t xml:space="preserve"> </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t xml:space="preserve">　　第二十四条　药品监督管理部门经过调查评估，认为存在本办法　　第四条所称的缺陷，医疗器械生产企业应当召回医疗器械而未主动召回的，应当责令医疗器械生产企业召回医疗器械。</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必要时，药品监督管理部门应当要求医疗器械生产企业、经营企业和使用单位立即暂停销售或者使用、告知使用者立即暂停使用该医疗器械。</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t xml:space="preserve">　　第二十五条　药品监督管理部门做出责令召回决定，应当将责令召回通知书送达医疗器械生产企业或者进口医疗器械生产企业的国内代理商，通知书包括以下内容：</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（一）召回医疗器械的具体情况，包括名称、批次等基本信息；</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（二）实施召回的原因；</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（三）调查评估结果；</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（四）召回要求，包括范围和时限等。</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t xml:space="preserve">　　第二十六条　医疗器械生产企业收到责令召回通知书后，应当按照本办法第十五条、第十六条的规定通知医疗器械经营企业和使用单位或者告知使用者，制定、提交召回计划，并组织实施。</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lastRenderedPageBreak/>
        <w:t xml:space="preserve">　　第二十七条　医疗器械生产企业应当按照本办法第十九条、第二十条、第二十一条、第二十二条的规定向药品监督管理部门报告医疗器械召回的相关情况，进行召回医疗器械的后续处理。</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药品监督管理部门应当按照本办法第二十三条的规定对医疗器械生产企业提交的医疗器械召回总结报告进行审查，并对召回效果进行评价，及时通报同级卫生行政部门。经过审查和评价，认为召回不彻底，尚未有效消除缺陷的，药品监督管理部门应当要求医疗器械生产企业重新召回。</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w:t>
      </w:r>
      <w:r w:rsidRPr="004C08FF">
        <w:rPr>
          <w:rFonts w:ascii="ˎ̥" w:eastAsia="宋体" w:hAnsi="ˎ̥" w:cs="Arial"/>
          <w:color w:val="000000"/>
          <w:kern w:val="0"/>
          <w:szCs w:val="21"/>
        </w:rPr>
        <w:t xml:space="preserve"> </w:t>
      </w:r>
      <w:r w:rsidRPr="004C08FF">
        <w:rPr>
          <w:rFonts w:ascii="ˎ̥" w:eastAsia="宋体" w:hAnsi="ˎ̥" w:cs="Arial"/>
          <w:color w:val="000000"/>
          <w:kern w:val="0"/>
          <w:szCs w:val="21"/>
        </w:rPr>
        <w:t>第五章　法律责任</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t xml:space="preserve">　　第二十八条　药品监督管理部门确认医疗器械生产企业因违反法律、法规、规章规定造成上市医疗器械存在缺陷，依法应当给予行政处罚，但该企业已经采取召回措施主动消除或者减轻危害后果的，依照《行政处罚法》的规定从轻或者减轻处罚；违法行为轻微并及时纠正，没有造成危害后果的，不予处罚。</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医疗器械生产企业召回医疗器械的，</w:t>
      </w:r>
      <w:proofErr w:type="gramStart"/>
      <w:r w:rsidRPr="004C08FF">
        <w:rPr>
          <w:rFonts w:ascii="ˎ̥" w:eastAsia="宋体" w:hAnsi="ˎ̥" w:cs="Arial"/>
          <w:color w:val="000000"/>
          <w:kern w:val="0"/>
          <w:szCs w:val="21"/>
        </w:rPr>
        <w:t>不</w:t>
      </w:r>
      <w:proofErr w:type="gramEnd"/>
      <w:r w:rsidRPr="004C08FF">
        <w:rPr>
          <w:rFonts w:ascii="ˎ̥" w:eastAsia="宋体" w:hAnsi="ˎ̥" w:cs="Arial"/>
          <w:color w:val="000000"/>
          <w:kern w:val="0"/>
          <w:szCs w:val="21"/>
        </w:rPr>
        <w:t>免除其依法应当承担的其他法律责任。</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t xml:space="preserve">　　第二十九条　医疗器械生产企业违反本办法规定，发现医疗器械存在缺陷而没有主动召回医疗器械的，责令召回医疗器械，并处</w:t>
      </w:r>
      <w:proofErr w:type="gramStart"/>
      <w:r w:rsidRPr="004C08FF">
        <w:rPr>
          <w:rFonts w:ascii="ˎ̥" w:eastAsia="宋体" w:hAnsi="ˎ̥" w:cs="Arial"/>
          <w:color w:val="000000"/>
          <w:kern w:val="0"/>
          <w:szCs w:val="21"/>
        </w:rPr>
        <w:t>应召回医疗</w:t>
      </w:r>
      <w:proofErr w:type="gramEnd"/>
      <w:r w:rsidRPr="004C08FF">
        <w:rPr>
          <w:rFonts w:ascii="ˎ̥" w:eastAsia="宋体" w:hAnsi="ˎ̥" w:cs="Arial"/>
          <w:color w:val="000000"/>
          <w:kern w:val="0"/>
          <w:szCs w:val="21"/>
        </w:rPr>
        <w:t>器械货值金额</w:t>
      </w:r>
      <w:r w:rsidRPr="004C08FF">
        <w:rPr>
          <w:rFonts w:ascii="ˎ̥" w:eastAsia="宋体" w:hAnsi="ˎ̥" w:cs="Arial"/>
          <w:color w:val="000000"/>
          <w:kern w:val="0"/>
          <w:szCs w:val="21"/>
        </w:rPr>
        <w:t>3</w:t>
      </w:r>
      <w:r w:rsidRPr="004C08FF">
        <w:rPr>
          <w:rFonts w:ascii="ˎ̥" w:eastAsia="宋体" w:hAnsi="ˎ̥" w:cs="Arial"/>
          <w:color w:val="000000"/>
          <w:kern w:val="0"/>
          <w:szCs w:val="21"/>
        </w:rPr>
        <w:t>倍的罚款；造成严重后果的，由原发证部门吊销医疗器械产品注册证书，直至吊销《医疗器械生产企业许可证》。</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t xml:space="preserve">　　第三十条　医疗器械生产企业违反本办法第二十四条规定，拒绝召回医疗器械的，处</w:t>
      </w:r>
      <w:proofErr w:type="gramStart"/>
      <w:r w:rsidRPr="004C08FF">
        <w:rPr>
          <w:rFonts w:ascii="ˎ̥" w:eastAsia="宋体" w:hAnsi="ˎ̥" w:cs="Arial"/>
          <w:color w:val="000000"/>
          <w:kern w:val="0"/>
          <w:szCs w:val="21"/>
        </w:rPr>
        <w:t>应召回医疗</w:t>
      </w:r>
      <w:proofErr w:type="gramEnd"/>
      <w:r w:rsidRPr="004C08FF">
        <w:rPr>
          <w:rFonts w:ascii="ˎ̥" w:eastAsia="宋体" w:hAnsi="ˎ̥" w:cs="Arial"/>
          <w:color w:val="000000"/>
          <w:kern w:val="0"/>
          <w:szCs w:val="21"/>
        </w:rPr>
        <w:t>器械货值金额</w:t>
      </w:r>
      <w:r w:rsidRPr="004C08FF">
        <w:rPr>
          <w:rFonts w:ascii="ˎ̥" w:eastAsia="宋体" w:hAnsi="ˎ̥" w:cs="Arial"/>
          <w:color w:val="000000"/>
          <w:kern w:val="0"/>
          <w:szCs w:val="21"/>
        </w:rPr>
        <w:t>3</w:t>
      </w:r>
      <w:r w:rsidRPr="004C08FF">
        <w:rPr>
          <w:rFonts w:ascii="ˎ̥" w:eastAsia="宋体" w:hAnsi="ˎ̥" w:cs="Arial"/>
          <w:color w:val="000000"/>
          <w:kern w:val="0"/>
          <w:szCs w:val="21"/>
        </w:rPr>
        <w:t>倍的罚款；造成严重后果的，由原发证部门吊销医疗器械产品注册证书，直至吊销《医疗器械生产企业许可证》。</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lastRenderedPageBreak/>
        <w:t xml:space="preserve">　第三十一条　医疗器械生产企业有下列情形之一的，予以警告，责令限期改正，并处</w:t>
      </w:r>
      <w:r w:rsidRPr="004C08FF">
        <w:rPr>
          <w:rFonts w:ascii="ˎ̥" w:eastAsia="宋体" w:hAnsi="ˎ̥" w:cs="Arial"/>
          <w:color w:val="000000"/>
          <w:kern w:val="0"/>
          <w:szCs w:val="21"/>
        </w:rPr>
        <w:t>3</w:t>
      </w:r>
      <w:r w:rsidRPr="004C08FF">
        <w:rPr>
          <w:rFonts w:ascii="ˎ̥" w:eastAsia="宋体" w:hAnsi="ˎ̥" w:cs="Arial"/>
          <w:color w:val="000000"/>
          <w:kern w:val="0"/>
          <w:szCs w:val="21"/>
        </w:rPr>
        <w:t>万元以下罚款：</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（一）违反本办法第十五条规定，未在规定时间内将召回医疗器械的决定通知到医疗器械经营企业、使用单位或者告知使用者的；</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（二）违反本办法第十八条、第二十三条第二款、第二十七条第二款规定，未按照药品监督管理部门要求采取改正措施或者重新召回医疗器械的；</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（三）违反本办法第二十一条规定，未对召回医疗器械的</w:t>
      </w:r>
      <w:proofErr w:type="gramStart"/>
      <w:r w:rsidRPr="004C08FF">
        <w:rPr>
          <w:rFonts w:ascii="ˎ̥" w:eastAsia="宋体" w:hAnsi="ˎ̥" w:cs="Arial"/>
          <w:color w:val="000000"/>
          <w:kern w:val="0"/>
          <w:szCs w:val="21"/>
        </w:rPr>
        <w:t>处理做</w:t>
      </w:r>
      <w:proofErr w:type="gramEnd"/>
      <w:r w:rsidRPr="004C08FF">
        <w:rPr>
          <w:rFonts w:ascii="ˎ̥" w:eastAsia="宋体" w:hAnsi="ˎ̥" w:cs="Arial"/>
          <w:color w:val="000000"/>
          <w:kern w:val="0"/>
          <w:szCs w:val="21"/>
        </w:rPr>
        <w:t>详细记录或者未向药品监督管理部门报告的。</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t xml:space="preserve">　　第三十二条　医疗器械生产企业有下列情形之一的，予以警告，责令限期改正；逾期未改正的，处</w:t>
      </w:r>
      <w:r w:rsidRPr="004C08FF">
        <w:rPr>
          <w:rFonts w:ascii="ˎ̥" w:eastAsia="宋体" w:hAnsi="ˎ̥" w:cs="Arial"/>
          <w:color w:val="000000"/>
          <w:kern w:val="0"/>
          <w:szCs w:val="21"/>
        </w:rPr>
        <w:t>3</w:t>
      </w:r>
      <w:r w:rsidRPr="004C08FF">
        <w:rPr>
          <w:rFonts w:ascii="ˎ̥" w:eastAsia="宋体" w:hAnsi="ˎ̥" w:cs="Arial"/>
          <w:color w:val="000000"/>
          <w:kern w:val="0"/>
          <w:szCs w:val="21"/>
        </w:rPr>
        <w:t>万元以下罚款：</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（一）未按本办法规定建立医疗器械召回制度的；</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（二）拒绝协助药品监督管理部门开展调查的；</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（三）未按照本办法规定提交《医疗器械召回事件报告表》、调查评估报告和召回计划、医疗器械召回计划实施情况和总结报告的；</w:t>
      </w: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（四）变更召回计划，未报药品监督管理部门备案的。</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t xml:space="preserve">　　第三十三条　医疗器械经营企业、使用单位违反本办法第七条第一款规定的，责令停止销售、使用存在缺陷的医疗器械，并处</w:t>
      </w:r>
      <w:r w:rsidRPr="004C08FF">
        <w:rPr>
          <w:rFonts w:ascii="ˎ̥" w:eastAsia="宋体" w:hAnsi="ˎ̥" w:cs="Arial"/>
          <w:color w:val="000000"/>
          <w:kern w:val="0"/>
          <w:szCs w:val="21"/>
        </w:rPr>
        <w:t>1000</w:t>
      </w:r>
      <w:r w:rsidRPr="004C08FF">
        <w:rPr>
          <w:rFonts w:ascii="ˎ̥" w:eastAsia="宋体" w:hAnsi="ˎ̥" w:cs="Arial"/>
          <w:color w:val="000000"/>
          <w:kern w:val="0"/>
          <w:szCs w:val="21"/>
        </w:rPr>
        <w:t>元以上</w:t>
      </w:r>
      <w:r w:rsidRPr="004C08FF">
        <w:rPr>
          <w:rFonts w:ascii="ˎ̥" w:eastAsia="宋体" w:hAnsi="ˎ̥" w:cs="Arial"/>
          <w:color w:val="000000"/>
          <w:kern w:val="0"/>
          <w:szCs w:val="21"/>
        </w:rPr>
        <w:t>3</w:t>
      </w:r>
      <w:r w:rsidRPr="004C08FF">
        <w:rPr>
          <w:rFonts w:ascii="ˎ̥" w:eastAsia="宋体" w:hAnsi="ˎ̥" w:cs="Arial"/>
          <w:color w:val="000000"/>
          <w:kern w:val="0"/>
          <w:szCs w:val="21"/>
        </w:rPr>
        <w:t>万元以下罚款；造成严重后果的，由原发证部门吊销《医疗器械经营企业许可证》。</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t xml:space="preserve">　　第三十四条　医疗器械经营企业、使用单位拒绝配合有关医疗器械缺陷调查、拒绝协助医疗器械生产企业召回医疗器械的，予以警告，责令改正；拒不改正的，处</w:t>
      </w:r>
      <w:r w:rsidRPr="004C08FF">
        <w:rPr>
          <w:rFonts w:ascii="ˎ̥" w:eastAsia="宋体" w:hAnsi="ˎ̥" w:cs="Arial"/>
          <w:color w:val="000000"/>
          <w:kern w:val="0"/>
          <w:szCs w:val="21"/>
        </w:rPr>
        <w:t>3</w:t>
      </w:r>
      <w:r w:rsidRPr="004C08FF">
        <w:rPr>
          <w:rFonts w:ascii="ˎ̥" w:eastAsia="宋体" w:hAnsi="ˎ̥" w:cs="Arial"/>
          <w:color w:val="000000"/>
          <w:kern w:val="0"/>
          <w:szCs w:val="21"/>
        </w:rPr>
        <w:t>万元以下罚款。</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lastRenderedPageBreak/>
        <w:t xml:space="preserve">　　第三十五条　药品监督管理部门及其工作人员不履行职责或者滥用职权的，按照有关法律、法规规定予以处理。</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第六章　附　则</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t xml:space="preserve">　　第三十六条　召回的医疗器械已经植入人体的，医疗器械生产企业应当与医疗机构和患者共同协商，根据召回的不同原因，提出对患者的处理意见和应采取的预案措施。</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t xml:space="preserve">　　第三十七条　召回的医疗器械给患者造成损害的，患者可以向生产企业请求赔偿，也可以向医疗器械经营企业、使用单位请求赔偿。患者向医疗器械经营企业、使用单位请求赔偿的，医疗器械经营企业、使用单位赔偿后，有权向负有责任的生产企业追偿。</w:t>
      </w:r>
    </w:p>
    <w:p w:rsidR="004C08FF" w:rsidRPr="004C08FF" w:rsidRDefault="004C08FF" w:rsidP="004C08FF">
      <w:pPr>
        <w:widowControl/>
        <w:wordWrap w:val="0"/>
        <w:spacing w:before="100" w:beforeAutospacing="1" w:after="100" w:afterAutospacing="1" w:line="480" w:lineRule="auto"/>
        <w:jc w:val="left"/>
        <w:rPr>
          <w:rFonts w:ascii="ˎ̥" w:eastAsia="宋体" w:hAnsi="ˎ̥" w:cs="Arial"/>
          <w:color w:val="000000"/>
          <w:kern w:val="0"/>
          <w:szCs w:val="21"/>
        </w:rPr>
      </w:pPr>
      <w:r w:rsidRPr="004C08FF">
        <w:rPr>
          <w:rFonts w:ascii="ˎ̥" w:eastAsia="宋体" w:hAnsi="ˎ̥" w:cs="Arial"/>
          <w:color w:val="000000"/>
          <w:kern w:val="0"/>
          <w:szCs w:val="21"/>
        </w:rPr>
        <w:t xml:space="preserve">　　第三十八条　本办法自</w:t>
      </w:r>
      <w:r w:rsidRPr="004C08FF">
        <w:rPr>
          <w:rFonts w:ascii="ˎ̥" w:eastAsia="宋体" w:hAnsi="ˎ̥" w:cs="Arial"/>
          <w:color w:val="000000"/>
          <w:kern w:val="0"/>
          <w:szCs w:val="21"/>
        </w:rPr>
        <w:t>2011</w:t>
      </w:r>
      <w:r w:rsidRPr="004C08FF">
        <w:rPr>
          <w:rFonts w:ascii="ˎ̥" w:eastAsia="宋体" w:hAnsi="ˎ̥" w:cs="Arial"/>
          <w:color w:val="000000"/>
          <w:kern w:val="0"/>
          <w:szCs w:val="21"/>
        </w:rPr>
        <w:t>年</w:t>
      </w:r>
      <w:r w:rsidRPr="004C08FF">
        <w:rPr>
          <w:rFonts w:ascii="ˎ̥" w:eastAsia="宋体" w:hAnsi="ˎ̥" w:cs="Arial"/>
          <w:color w:val="000000"/>
          <w:kern w:val="0"/>
          <w:szCs w:val="21"/>
        </w:rPr>
        <w:t>7</w:t>
      </w:r>
      <w:r w:rsidRPr="004C08FF">
        <w:rPr>
          <w:rFonts w:ascii="ˎ̥" w:eastAsia="宋体" w:hAnsi="ˎ̥" w:cs="Arial"/>
          <w:color w:val="000000"/>
          <w:kern w:val="0"/>
          <w:szCs w:val="21"/>
        </w:rPr>
        <w:t>月</w:t>
      </w:r>
      <w:r w:rsidRPr="004C08FF">
        <w:rPr>
          <w:rFonts w:ascii="ˎ̥" w:eastAsia="宋体" w:hAnsi="ˎ̥" w:cs="Arial"/>
          <w:color w:val="000000"/>
          <w:kern w:val="0"/>
          <w:szCs w:val="21"/>
        </w:rPr>
        <w:t>1</w:t>
      </w:r>
      <w:r w:rsidRPr="004C08FF">
        <w:rPr>
          <w:rFonts w:ascii="ˎ̥" w:eastAsia="宋体" w:hAnsi="ˎ̥" w:cs="Arial"/>
          <w:color w:val="000000"/>
          <w:kern w:val="0"/>
          <w:szCs w:val="21"/>
        </w:rPr>
        <w:t>日起施行。</w:t>
      </w:r>
    </w:p>
    <w:p w:rsidR="004C08FF" w:rsidRPr="004C08FF" w:rsidRDefault="004C08FF" w:rsidP="004C08FF">
      <w:pPr>
        <w:wordWrap w:val="0"/>
        <w:spacing w:before="100" w:beforeAutospacing="1" w:after="100" w:afterAutospacing="1" w:line="480" w:lineRule="auto"/>
        <w:rPr>
          <w:rFonts w:ascii="宋体" w:eastAsia="宋体" w:hAnsi="宋体" w:cs="宋体"/>
          <w:color w:val="000000"/>
          <w:kern w:val="0"/>
          <w:szCs w:val="21"/>
        </w:rPr>
      </w:pPr>
      <w:r w:rsidRPr="004C08FF">
        <w:rPr>
          <w:rFonts w:ascii="ˎ̥" w:eastAsia="宋体" w:hAnsi="ˎ̥" w:cs="Arial"/>
          <w:color w:val="000000"/>
          <w:kern w:val="0"/>
          <w:sz w:val="18"/>
          <w:szCs w:val="18"/>
        </w:rPr>
        <w:br/>
      </w:r>
      <w:r w:rsidRPr="004C08FF">
        <w:rPr>
          <w:rFonts w:ascii="ˎ̥" w:eastAsia="宋体" w:hAnsi="ˎ̥" w:cs="Arial"/>
          <w:color w:val="000000"/>
          <w:kern w:val="0"/>
          <w:szCs w:val="21"/>
        </w:rPr>
        <w:t xml:space="preserve">　　附表：</w:t>
      </w:r>
      <w:r w:rsidRPr="004C08FF">
        <w:rPr>
          <w:rFonts w:ascii="ˎ̥" w:eastAsia="宋体" w:hAnsi="ˎ̥" w:cs="Arial"/>
          <w:color w:val="000000"/>
          <w:kern w:val="0"/>
          <w:szCs w:val="21"/>
        </w:rPr>
        <w:t>1.</w:t>
      </w:r>
      <w:r w:rsidRPr="004C08FF">
        <w:rPr>
          <w:rFonts w:ascii="ˎ̥" w:eastAsia="宋体" w:hAnsi="ˎ̥" w:cs="Arial"/>
          <w:color w:val="000000"/>
          <w:kern w:val="0"/>
          <w:szCs w:val="21"/>
        </w:rPr>
        <w:t>医疗器械召回事件报告表</w:t>
      </w:r>
      <w:r w:rsidRPr="004C08FF">
        <w:rPr>
          <w:rFonts w:ascii="ˎ̥" w:eastAsia="宋体" w:hAnsi="ˎ̥" w:cs="Arial"/>
          <w:color w:val="000000"/>
          <w:kern w:val="0"/>
          <w:sz w:val="18"/>
          <w:szCs w:val="18"/>
        </w:rPr>
        <w:br/>
      </w:r>
      <w:proofErr w:type="gramStart"/>
      <w:r w:rsidRPr="004C08FF">
        <w:rPr>
          <w:rFonts w:ascii="ˎ̥" w:eastAsia="宋体" w:hAnsi="ˎ̥" w:cs="Arial"/>
          <w:color w:val="000000"/>
          <w:kern w:val="0"/>
          <w:szCs w:val="21"/>
        </w:rPr>
        <w:t xml:space="preserve">　　　　　</w:t>
      </w:r>
      <w:proofErr w:type="gramEnd"/>
      <w:r w:rsidRPr="004C08FF">
        <w:rPr>
          <w:rFonts w:ascii="ˎ̥" w:eastAsia="宋体" w:hAnsi="ˎ̥" w:cs="Arial"/>
          <w:color w:val="000000"/>
          <w:kern w:val="0"/>
          <w:szCs w:val="21"/>
        </w:rPr>
        <w:t>2.</w:t>
      </w:r>
      <w:r w:rsidRPr="004C08FF">
        <w:rPr>
          <w:rFonts w:ascii="ˎ̥" w:eastAsia="宋体" w:hAnsi="ˎ̥" w:cs="Arial"/>
          <w:color w:val="000000"/>
          <w:kern w:val="0"/>
          <w:szCs w:val="21"/>
        </w:rPr>
        <w:t>召回计划实施情况报告</w:t>
      </w:r>
      <w:r w:rsidRPr="004C08FF">
        <w:rPr>
          <w:rFonts w:ascii="ˎ̥" w:eastAsia="宋体" w:hAnsi="ˎ̥" w:cs="Arial"/>
          <w:color w:val="000000"/>
          <w:kern w:val="0"/>
          <w:sz w:val="18"/>
          <w:szCs w:val="18"/>
        </w:rPr>
        <w:br/>
      </w:r>
      <w:r w:rsidRPr="004C08FF">
        <w:rPr>
          <w:rFonts w:ascii="宋体" w:eastAsia="宋体" w:hAnsi="宋体" w:cs="宋体" w:hint="eastAsia"/>
          <w:color w:val="000000"/>
          <w:kern w:val="0"/>
          <w:szCs w:val="21"/>
        </w:rPr>
        <w:t>附表</w:t>
      </w:r>
      <w:r w:rsidRPr="004C08FF">
        <w:rPr>
          <w:rFonts w:ascii="宋体" w:eastAsia="宋体" w:hAnsi="宋体" w:cs="宋体"/>
          <w:color w:val="000000"/>
          <w:kern w:val="0"/>
          <w:szCs w:val="21"/>
        </w:rPr>
        <w:t>1</w:t>
      </w:r>
    </w:p>
    <w:p w:rsidR="004C08FF" w:rsidRPr="004C08FF" w:rsidRDefault="004C08FF" w:rsidP="004C08FF">
      <w:pPr>
        <w:widowControl/>
        <w:wordWrap w:val="0"/>
        <w:spacing w:before="100" w:beforeAutospacing="1" w:after="100" w:afterAutospacing="1" w:line="480" w:lineRule="auto"/>
        <w:ind w:firstLine="2940"/>
        <w:jc w:val="left"/>
        <w:rPr>
          <w:rFonts w:ascii="宋体" w:eastAsia="宋体" w:hAnsi="宋体" w:cs="宋体"/>
          <w:color w:val="000000"/>
          <w:kern w:val="0"/>
          <w:szCs w:val="21"/>
        </w:rPr>
      </w:pPr>
      <w:r w:rsidRPr="004C08FF">
        <w:rPr>
          <w:rFonts w:ascii="宋体" w:eastAsia="宋体" w:hAnsi="宋体" w:cs="宋体" w:hint="eastAsia"/>
          <w:color w:val="000000"/>
          <w:kern w:val="0"/>
          <w:szCs w:val="21"/>
        </w:rPr>
        <w:t>医疗器械召回事件报告表</w:t>
      </w:r>
    </w:p>
    <w:tbl>
      <w:tblPr>
        <w:tblW w:w="5000" w:type="pct"/>
        <w:tblCellMar>
          <w:left w:w="0" w:type="dxa"/>
          <w:right w:w="0" w:type="dxa"/>
        </w:tblCellMar>
        <w:tblLook w:val="04A0"/>
      </w:tblPr>
      <w:tblGrid>
        <w:gridCol w:w="2518"/>
        <w:gridCol w:w="2159"/>
        <w:gridCol w:w="1495"/>
        <w:gridCol w:w="2350"/>
      </w:tblGrid>
      <w:tr w:rsidR="004C08FF" w:rsidRPr="004C08FF" w:rsidTr="004C08FF">
        <w:trPr>
          <w:trHeight w:val="613"/>
        </w:trPr>
        <w:tc>
          <w:tcPr>
            <w:tcW w:w="14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产品名称</w:t>
            </w:r>
          </w:p>
        </w:tc>
        <w:tc>
          <w:tcPr>
            <w:tcW w:w="12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color w:val="000000"/>
                <w:kern w:val="0"/>
                <w:szCs w:val="21"/>
              </w:rPr>
              <w:t> </w:t>
            </w:r>
          </w:p>
        </w:tc>
        <w:tc>
          <w:tcPr>
            <w:tcW w:w="8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注册证号码</w:t>
            </w:r>
          </w:p>
        </w:tc>
        <w:tc>
          <w:tcPr>
            <w:tcW w:w="13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left"/>
              <w:rPr>
                <w:rFonts w:ascii="宋体" w:eastAsia="宋体" w:hAnsi="宋体" w:cs="宋体"/>
                <w:color w:val="000000"/>
                <w:kern w:val="0"/>
                <w:szCs w:val="21"/>
              </w:rPr>
            </w:pPr>
            <w:r w:rsidRPr="004C08FF">
              <w:rPr>
                <w:rFonts w:ascii="宋体" w:eastAsia="宋体" w:hAnsi="宋体" w:cs="宋体"/>
                <w:color w:val="000000"/>
                <w:kern w:val="0"/>
                <w:szCs w:val="21"/>
              </w:rPr>
              <w:t> </w:t>
            </w:r>
          </w:p>
        </w:tc>
      </w:tr>
      <w:tr w:rsidR="004C08FF" w:rsidRPr="004C08FF" w:rsidTr="004C08FF">
        <w:trPr>
          <w:trHeight w:val="620"/>
        </w:trPr>
        <w:tc>
          <w:tcPr>
            <w:tcW w:w="147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生产企业</w:t>
            </w:r>
          </w:p>
        </w:tc>
        <w:tc>
          <w:tcPr>
            <w:tcW w:w="352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color w:val="000000"/>
                <w:kern w:val="0"/>
                <w:szCs w:val="21"/>
              </w:rPr>
              <w:t> </w:t>
            </w:r>
          </w:p>
        </w:tc>
      </w:tr>
      <w:tr w:rsidR="004C08FF" w:rsidRPr="004C08FF" w:rsidTr="004C08FF">
        <w:trPr>
          <w:trHeight w:val="1058"/>
        </w:trPr>
        <w:tc>
          <w:tcPr>
            <w:tcW w:w="147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中国境内负责单位、</w:t>
            </w:r>
            <w:r w:rsidRPr="004C08FF">
              <w:rPr>
                <w:rFonts w:ascii="ˎ̥" w:eastAsia="宋体" w:hAnsi="ˎ̥" w:cs="宋体"/>
                <w:color w:val="000000"/>
                <w:kern w:val="0"/>
                <w:sz w:val="18"/>
                <w:szCs w:val="18"/>
              </w:rPr>
              <w:br/>
            </w:r>
            <w:r w:rsidRPr="004C08FF">
              <w:rPr>
                <w:rFonts w:ascii="宋体" w:eastAsia="宋体" w:hAnsi="宋体" w:cs="宋体" w:hint="eastAsia"/>
                <w:color w:val="000000"/>
                <w:kern w:val="0"/>
                <w:szCs w:val="21"/>
              </w:rPr>
              <w:t>负责人及联系方式</w:t>
            </w:r>
          </w:p>
        </w:tc>
        <w:tc>
          <w:tcPr>
            <w:tcW w:w="352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color w:val="000000"/>
                <w:kern w:val="0"/>
                <w:szCs w:val="21"/>
              </w:rPr>
              <w:t> </w:t>
            </w:r>
          </w:p>
        </w:tc>
      </w:tr>
      <w:tr w:rsidR="004C08FF" w:rsidRPr="004C08FF" w:rsidTr="004C08FF">
        <w:trPr>
          <w:trHeight w:val="902"/>
        </w:trPr>
        <w:tc>
          <w:tcPr>
            <w:tcW w:w="147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lastRenderedPageBreak/>
              <w:t>召回工作联系人和</w:t>
            </w:r>
            <w:r w:rsidRPr="004C08FF">
              <w:rPr>
                <w:rFonts w:ascii="ˎ̥" w:eastAsia="宋体" w:hAnsi="ˎ̥" w:cs="宋体"/>
                <w:color w:val="000000"/>
                <w:kern w:val="0"/>
                <w:sz w:val="18"/>
                <w:szCs w:val="18"/>
              </w:rPr>
              <w:br/>
            </w:r>
            <w:r w:rsidRPr="004C08FF">
              <w:rPr>
                <w:rFonts w:ascii="宋体" w:eastAsia="宋体" w:hAnsi="宋体" w:cs="宋体" w:hint="eastAsia"/>
                <w:color w:val="000000"/>
                <w:kern w:val="0"/>
                <w:szCs w:val="21"/>
              </w:rPr>
              <w:t>联系方式</w:t>
            </w:r>
          </w:p>
        </w:tc>
        <w:tc>
          <w:tcPr>
            <w:tcW w:w="352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color w:val="000000"/>
                <w:kern w:val="0"/>
                <w:szCs w:val="21"/>
              </w:rPr>
              <w:t> </w:t>
            </w:r>
          </w:p>
        </w:tc>
      </w:tr>
      <w:tr w:rsidR="004C08FF" w:rsidRPr="004C08FF" w:rsidTr="004C08FF">
        <w:trPr>
          <w:trHeight w:val="804"/>
        </w:trPr>
        <w:tc>
          <w:tcPr>
            <w:tcW w:w="147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产品的适用范围</w:t>
            </w:r>
          </w:p>
        </w:tc>
        <w:tc>
          <w:tcPr>
            <w:tcW w:w="352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color w:val="000000"/>
                <w:kern w:val="0"/>
                <w:szCs w:val="21"/>
              </w:rPr>
              <w:t> </w:t>
            </w:r>
          </w:p>
        </w:tc>
      </w:tr>
      <w:tr w:rsidR="004C08FF" w:rsidRPr="004C08FF" w:rsidTr="004C08FF">
        <w:trPr>
          <w:trHeight w:val="820"/>
        </w:trPr>
        <w:tc>
          <w:tcPr>
            <w:tcW w:w="147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涉及地区和国家</w:t>
            </w:r>
          </w:p>
        </w:tc>
        <w:tc>
          <w:tcPr>
            <w:tcW w:w="12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color w:val="000000"/>
                <w:kern w:val="0"/>
                <w:szCs w:val="21"/>
              </w:rPr>
              <w:t> </w:t>
            </w:r>
          </w:p>
        </w:tc>
        <w:tc>
          <w:tcPr>
            <w:tcW w:w="8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涉及产品</w:t>
            </w:r>
            <w:r w:rsidRPr="004C08FF">
              <w:rPr>
                <w:rFonts w:ascii="ˎ̥" w:eastAsia="宋体" w:hAnsi="ˎ̥" w:cs="宋体"/>
                <w:color w:val="000000"/>
                <w:kern w:val="0"/>
                <w:sz w:val="18"/>
                <w:szCs w:val="18"/>
              </w:rPr>
              <w:br/>
            </w:r>
            <w:r w:rsidRPr="004C08FF">
              <w:rPr>
                <w:rFonts w:ascii="宋体" w:eastAsia="宋体" w:hAnsi="宋体" w:cs="宋体" w:hint="eastAsia"/>
                <w:color w:val="000000"/>
                <w:kern w:val="0"/>
                <w:szCs w:val="21"/>
              </w:rPr>
              <w:t>型号、规格</w:t>
            </w:r>
          </w:p>
        </w:tc>
        <w:tc>
          <w:tcPr>
            <w:tcW w:w="13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left"/>
              <w:rPr>
                <w:rFonts w:ascii="宋体" w:eastAsia="宋体" w:hAnsi="宋体" w:cs="宋体"/>
                <w:color w:val="000000"/>
                <w:kern w:val="0"/>
                <w:szCs w:val="21"/>
              </w:rPr>
            </w:pPr>
            <w:r w:rsidRPr="004C08FF">
              <w:rPr>
                <w:rFonts w:ascii="宋体" w:eastAsia="宋体" w:hAnsi="宋体" w:cs="宋体"/>
                <w:color w:val="000000"/>
                <w:kern w:val="0"/>
                <w:szCs w:val="21"/>
              </w:rPr>
              <w:t> </w:t>
            </w:r>
          </w:p>
        </w:tc>
      </w:tr>
      <w:tr w:rsidR="004C08FF" w:rsidRPr="004C08FF" w:rsidTr="004C08FF">
        <w:trPr>
          <w:trHeight w:val="768"/>
        </w:trPr>
        <w:tc>
          <w:tcPr>
            <w:tcW w:w="147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涉及产品生产</w:t>
            </w:r>
            <w:r w:rsidRPr="004C08FF">
              <w:rPr>
                <w:rFonts w:ascii="ˎ̥" w:eastAsia="宋体" w:hAnsi="ˎ̥" w:cs="宋体"/>
                <w:color w:val="000000"/>
                <w:kern w:val="0"/>
                <w:sz w:val="18"/>
                <w:szCs w:val="18"/>
              </w:rPr>
              <w:br/>
            </w:r>
            <w:r w:rsidRPr="004C08FF">
              <w:rPr>
                <w:rFonts w:ascii="宋体" w:eastAsia="宋体" w:hAnsi="宋体" w:cs="宋体" w:hint="eastAsia"/>
                <w:color w:val="000000"/>
                <w:kern w:val="0"/>
                <w:szCs w:val="21"/>
              </w:rPr>
              <w:t>（或进口中国）数量</w:t>
            </w:r>
          </w:p>
        </w:tc>
        <w:tc>
          <w:tcPr>
            <w:tcW w:w="12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color w:val="000000"/>
                <w:kern w:val="0"/>
                <w:szCs w:val="21"/>
              </w:rPr>
              <w:t> </w:t>
            </w:r>
          </w:p>
        </w:tc>
        <w:tc>
          <w:tcPr>
            <w:tcW w:w="8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涉及产品在中国的销售数量</w:t>
            </w:r>
          </w:p>
        </w:tc>
        <w:tc>
          <w:tcPr>
            <w:tcW w:w="13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left"/>
              <w:rPr>
                <w:rFonts w:ascii="宋体" w:eastAsia="宋体" w:hAnsi="宋体" w:cs="宋体"/>
                <w:color w:val="000000"/>
                <w:kern w:val="0"/>
                <w:szCs w:val="21"/>
              </w:rPr>
            </w:pPr>
            <w:r w:rsidRPr="004C08FF">
              <w:rPr>
                <w:rFonts w:ascii="宋体" w:eastAsia="宋体" w:hAnsi="宋体" w:cs="宋体"/>
                <w:color w:val="000000"/>
                <w:kern w:val="0"/>
                <w:szCs w:val="21"/>
              </w:rPr>
              <w:t> </w:t>
            </w:r>
          </w:p>
        </w:tc>
      </w:tr>
      <w:tr w:rsidR="004C08FF" w:rsidRPr="004C08FF" w:rsidTr="004C08FF">
        <w:trPr>
          <w:trHeight w:val="663"/>
        </w:trPr>
        <w:tc>
          <w:tcPr>
            <w:tcW w:w="147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识别信息</w:t>
            </w:r>
            <w:r w:rsidRPr="004C08FF">
              <w:rPr>
                <w:rFonts w:ascii="ˎ̥" w:eastAsia="宋体" w:hAnsi="ˎ̥" w:cs="宋体"/>
                <w:color w:val="000000"/>
                <w:kern w:val="0"/>
                <w:sz w:val="18"/>
                <w:szCs w:val="18"/>
              </w:rPr>
              <w:br/>
            </w:r>
            <w:r w:rsidRPr="004C08FF">
              <w:rPr>
                <w:rFonts w:ascii="宋体" w:eastAsia="宋体" w:hAnsi="宋体" w:cs="宋体" w:hint="eastAsia"/>
                <w:color w:val="000000"/>
                <w:kern w:val="0"/>
                <w:szCs w:val="21"/>
              </w:rPr>
              <w:t>（如批号）</w:t>
            </w:r>
          </w:p>
        </w:tc>
        <w:tc>
          <w:tcPr>
            <w:tcW w:w="352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color w:val="000000"/>
                <w:kern w:val="0"/>
                <w:szCs w:val="21"/>
              </w:rPr>
              <w:t> </w:t>
            </w:r>
          </w:p>
        </w:tc>
      </w:tr>
      <w:tr w:rsidR="004C08FF" w:rsidRPr="004C08FF" w:rsidTr="004C08FF">
        <w:trPr>
          <w:trHeight w:val="860"/>
        </w:trPr>
        <w:tc>
          <w:tcPr>
            <w:tcW w:w="147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召回原因简述</w:t>
            </w:r>
          </w:p>
        </w:tc>
        <w:tc>
          <w:tcPr>
            <w:tcW w:w="352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color w:val="000000"/>
                <w:kern w:val="0"/>
                <w:szCs w:val="21"/>
              </w:rPr>
              <w:t> </w:t>
            </w:r>
          </w:p>
        </w:tc>
      </w:tr>
      <w:tr w:rsidR="004C08FF" w:rsidRPr="004C08FF" w:rsidTr="004C08FF">
        <w:trPr>
          <w:trHeight w:val="762"/>
        </w:trPr>
        <w:tc>
          <w:tcPr>
            <w:tcW w:w="147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纠正行动简述</w:t>
            </w:r>
          </w:p>
        </w:tc>
        <w:tc>
          <w:tcPr>
            <w:tcW w:w="3523"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color w:val="000000"/>
                <w:kern w:val="0"/>
                <w:szCs w:val="21"/>
              </w:rPr>
              <w:t> </w:t>
            </w:r>
          </w:p>
        </w:tc>
      </w:tr>
    </w:tbl>
    <w:p w:rsidR="004C08FF" w:rsidRPr="004C08FF" w:rsidRDefault="004C08FF" w:rsidP="004C08FF">
      <w:pPr>
        <w:widowControl/>
        <w:wordWrap w:val="0"/>
        <w:spacing w:before="100" w:beforeAutospacing="1" w:after="100" w:afterAutospacing="1" w:line="480" w:lineRule="auto"/>
        <w:ind w:firstLine="420"/>
        <w:jc w:val="left"/>
        <w:rPr>
          <w:rFonts w:ascii="宋体" w:eastAsia="宋体" w:hAnsi="宋体" w:cs="宋体"/>
          <w:color w:val="000000"/>
          <w:kern w:val="0"/>
          <w:szCs w:val="21"/>
        </w:rPr>
      </w:pPr>
      <w:r w:rsidRPr="004C08FF">
        <w:rPr>
          <w:rFonts w:ascii="宋体" w:eastAsia="宋体" w:hAnsi="宋体" w:cs="宋体" w:hint="eastAsia"/>
          <w:color w:val="000000"/>
          <w:kern w:val="0"/>
          <w:szCs w:val="21"/>
        </w:rPr>
        <w:t>报告单位：（盖章）</w:t>
      </w:r>
      <w:proofErr w:type="gramStart"/>
      <w:r w:rsidRPr="004C08FF">
        <w:rPr>
          <w:rFonts w:ascii="宋体" w:eastAsia="宋体" w:hAnsi="宋体" w:cs="宋体" w:hint="eastAsia"/>
          <w:color w:val="000000"/>
          <w:kern w:val="0"/>
          <w:szCs w:val="21"/>
        </w:rPr>
        <w:t xml:space="preserve">　　　　　　　　　　　　　　　　　</w:t>
      </w:r>
      <w:proofErr w:type="gramEnd"/>
      <w:r w:rsidRPr="004C08FF">
        <w:rPr>
          <w:rFonts w:ascii="宋体" w:eastAsia="宋体" w:hAnsi="宋体" w:cs="宋体" w:hint="eastAsia"/>
          <w:color w:val="000000"/>
          <w:kern w:val="0"/>
          <w:szCs w:val="21"/>
        </w:rPr>
        <w:t>负责人：（签字）</w:t>
      </w:r>
      <w:r w:rsidRPr="004C08FF">
        <w:rPr>
          <w:rFonts w:ascii="ˎ̥" w:eastAsia="宋体" w:hAnsi="ˎ̥" w:cs="宋体"/>
          <w:color w:val="000000"/>
          <w:kern w:val="0"/>
          <w:sz w:val="18"/>
          <w:szCs w:val="18"/>
        </w:rPr>
        <w:br/>
      </w:r>
      <w:r w:rsidRPr="004C08FF">
        <w:rPr>
          <w:rFonts w:ascii="宋体" w:eastAsia="宋体" w:hAnsi="宋体" w:cs="宋体" w:hint="eastAsia"/>
          <w:color w:val="000000"/>
          <w:kern w:val="0"/>
          <w:szCs w:val="21"/>
        </w:rPr>
        <w:t xml:space="preserve">　　报告人：（签字）</w:t>
      </w:r>
      <w:proofErr w:type="gramStart"/>
      <w:r w:rsidRPr="004C08FF">
        <w:rPr>
          <w:rFonts w:ascii="宋体" w:eastAsia="宋体" w:hAnsi="宋体" w:cs="宋体" w:hint="eastAsia"/>
          <w:color w:val="000000"/>
          <w:kern w:val="0"/>
          <w:szCs w:val="21"/>
        </w:rPr>
        <w:t xml:space="preserve">　　　　　　　　　　　　　　　　　　</w:t>
      </w:r>
      <w:proofErr w:type="gramEnd"/>
      <w:r w:rsidRPr="004C08FF">
        <w:rPr>
          <w:rFonts w:ascii="宋体" w:eastAsia="宋体" w:hAnsi="宋体" w:cs="宋体" w:hint="eastAsia"/>
          <w:color w:val="000000"/>
          <w:kern w:val="0"/>
          <w:szCs w:val="21"/>
        </w:rPr>
        <w:t>报告日期：</w:t>
      </w:r>
    </w:p>
    <w:p w:rsidR="004C08FF" w:rsidRPr="004C08FF" w:rsidRDefault="004C08FF" w:rsidP="004C08FF">
      <w:pPr>
        <w:widowControl/>
        <w:wordWrap w:val="0"/>
        <w:spacing w:before="100" w:beforeAutospacing="1" w:after="100" w:afterAutospacing="1" w:line="480" w:lineRule="auto"/>
        <w:jc w:val="left"/>
        <w:rPr>
          <w:rFonts w:ascii="宋体" w:eastAsia="宋体" w:hAnsi="宋体" w:cs="宋体"/>
          <w:color w:val="000000"/>
          <w:kern w:val="0"/>
          <w:szCs w:val="21"/>
        </w:rPr>
      </w:pPr>
      <w:r w:rsidRPr="004C08FF">
        <w:rPr>
          <w:rFonts w:ascii="宋体" w:eastAsia="宋体" w:hAnsi="宋体" w:cs="宋体"/>
          <w:color w:val="000000"/>
          <w:kern w:val="0"/>
          <w:szCs w:val="21"/>
        </w:rPr>
        <w:t> </w:t>
      </w:r>
    </w:p>
    <w:p w:rsidR="004C08FF" w:rsidRPr="004C08FF" w:rsidRDefault="004C08FF" w:rsidP="004C08FF">
      <w:pPr>
        <w:widowControl/>
        <w:wordWrap w:val="0"/>
        <w:spacing w:before="100" w:beforeAutospacing="1" w:after="100" w:afterAutospacing="1" w:line="480" w:lineRule="auto"/>
        <w:jc w:val="left"/>
        <w:rPr>
          <w:rFonts w:ascii="宋体" w:eastAsia="宋体" w:hAnsi="宋体" w:cs="宋体"/>
          <w:color w:val="000000"/>
          <w:kern w:val="0"/>
          <w:szCs w:val="21"/>
        </w:rPr>
      </w:pPr>
      <w:r w:rsidRPr="004C08FF">
        <w:rPr>
          <w:rFonts w:ascii="宋体" w:eastAsia="宋体" w:hAnsi="宋体" w:cs="宋体" w:hint="eastAsia"/>
          <w:color w:val="000000"/>
          <w:kern w:val="0"/>
          <w:szCs w:val="21"/>
        </w:rPr>
        <w:t>附表2</w:t>
      </w:r>
    </w:p>
    <w:p w:rsidR="004C08FF" w:rsidRPr="004C08FF" w:rsidRDefault="004C08FF" w:rsidP="004C08FF">
      <w:pPr>
        <w:widowControl/>
        <w:wordWrap w:val="0"/>
        <w:spacing w:before="100" w:beforeAutospacing="1" w:after="100" w:afterAutospacing="1" w:line="480" w:lineRule="auto"/>
        <w:ind w:firstLine="2940"/>
        <w:jc w:val="left"/>
        <w:rPr>
          <w:rFonts w:ascii="宋体" w:eastAsia="宋体" w:hAnsi="宋体" w:cs="宋体" w:hint="eastAsia"/>
          <w:color w:val="000000"/>
          <w:kern w:val="0"/>
          <w:szCs w:val="21"/>
        </w:rPr>
      </w:pPr>
      <w:r w:rsidRPr="004C08FF">
        <w:rPr>
          <w:rFonts w:ascii="宋体" w:eastAsia="宋体" w:hAnsi="宋体" w:cs="宋体" w:hint="eastAsia"/>
          <w:color w:val="000000"/>
          <w:kern w:val="0"/>
          <w:szCs w:val="21"/>
        </w:rPr>
        <w:t>召回计划实施情况报告</w:t>
      </w:r>
    </w:p>
    <w:tbl>
      <w:tblPr>
        <w:tblW w:w="5000" w:type="pct"/>
        <w:tblCellMar>
          <w:left w:w="0" w:type="dxa"/>
          <w:right w:w="0" w:type="dxa"/>
        </w:tblCellMar>
        <w:tblLook w:val="04A0"/>
      </w:tblPr>
      <w:tblGrid>
        <w:gridCol w:w="427"/>
        <w:gridCol w:w="1300"/>
        <w:gridCol w:w="1455"/>
        <w:gridCol w:w="192"/>
        <w:gridCol w:w="1636"/>
        <w:gridCol w:w="3512"/>
      </w:tblGrid>
      <w:tr w:rsidR="004C08FF" w:rsidRPr="004C08FF" w:rsidTr="004C08FF">
        <w:trPr>
          <w:trHeight w:val="613"/>
        </w:trPr>
        <w:tc>
          <w:tcPr>
            <w:tcW w:w="99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产品名称</w:t>
            </w:r>
          </w:p>
        </w:tc>
        <w:tc>
          <w:tcPr>
            <w:tcW w:w="9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color w:val="000000"/>
                <w:kern w:val="0"/>
                <w:szCs w:val="21"/>
              </w:rPr>
              <w:t> </w:t>
            </w:r>
          </w:p>
        </w:tc>
        <w:tc>
          <w:tcPr>
            <w:tcW w:w="9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注册证号码</w:t>
            </w:r>
          </w:p>
        </w:tc>
        <w:tc>
          <w:tcPr>
            <w:tcW w:w="20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color w:val="000000"/>
                <w:kern w:val="0"/>
                <w:szCs w:val="21"/>
              </w:rPr>
              <w:t> </w:t>
            </w:r>
          </w:p>
        </w:tc>
      </w:tr>
      <w:tr w:rsidR="004C08FF" w:rsidRPr="004C08FF" w:rsidTr="004C08FF">
        <w:trPr>
          <w:trHeight w:val="620"/>
        </w:trPr>
        <w:tc>
          <w:tcPr>
            <w:tcW w:w="99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生产企业</w:t>
            </w:r>
          </w:p>
        </w:tc>
        <w:tc>
          <w:tcPr>
            <w:tcW w:w="4003"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color w:val="000000"/>
                <w:kern w:val="0"/>
                <w:szCs w:val="21"/>
              </w:rPr>
              <w:t> </w:t>
            </w:r>
          </w:p>
        </w:tc>
      </w:tr>
      <w:tr w:rsidR="004C08FF" w:rsidRPr="004C08FF" w:rsidTr="004C08FF">
        <w:trPr>
          <w:trHeight w:val="907"/>
        </w:trPr>
        <w:tc>
          <w:tcPr>
            <w:tcW w:w="99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lastRenderedPageBreak/>
              <w:t>中国境内负责单位、负责人及联系方式</w:t>
            </w:r>
          </w:p>
        </w:tc>
        <w:tc>
          <w:tcPr>
            <w:tcW w:w="4003"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color w:val="000000"/>
                <w:kern w:val="0"/>
                <w:szCs w:val="21"/>
              </w:rPr>
              <w:t> </w:t>
            </w:r>
          </w:p>
        </w:tc>
      </w:tr>
      <w:tr w:rsidR="004C08FF" w:rsidRPr="004C08FF" w:rsidTr="004C08FF">
        <w:trPr>
          <w:trHeight w:val="904"/>
        </w:trPr>
        <w:tc>
          <w:tcPr>
            <w:tcW w:w="99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召回工作联系人和联系方式</w:t>
            </w:r>
          </w:p>
        </w:tc>
        <w:tc>
          <w:tcPr>
            <w:tcW w:w="4003"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color w:val="000000"/>
                <w:kern w:val="0"/>
                <w:szCs w:val="21"/>
              </w:rPr>
              <w:t> </w:t>
            </w:r>
          </w:p>
        </w:tc>
      </w:tr>
      <w:tr w:rsidR="004C08FF" w:rsidRPr="004C08FF" w:rsidTr="004C08FF">
        <w:trPr>
          <w:cantSplit/>
          <w:trHeight w:val="121"/>
        </w:trPr>
        <w:tc>
          <w:tcPr>
            <w:tcW w:w="23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通</w:t>
            </w:r>
          </w:p>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知</w:t>
            </w:r>
          </w:p>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情</w:t>
            </w:r>
          </w:p>
          <w:p w:rsidR="004C08FF" w:rsidRPr="004C08FF" w:rsidRDefault="004C08FF" w:rsidP="004C08FF">
            <w:pPr>
              <w:widowControl/>
              <w:wordWrap w:val="0"/>
              <w:spacing w:before="100" w:beforeAutospacing="1" w:after="100" w:afterAutospacing="1" w:line="121" w:lineRule="atLeast"/>
              <w:jc w:val="center"/>
              <w:rPr>
                <w:rFonts w:ascii="宋体" w:eastAsia="宋体" w:hAnsi="宋体" w:cs="宋体"/>
                <w:color w:val="000000"/>
                <w:kern w:val="0"/>
                <w:szCs w:val="21"/>
              </w:rPr>
            </w:pPr>
            <w:proofErr w:type="gramStart"/>
            <w:r w:rsidRPr="004C08FF">
              <w:rPr>
                <w:rFonts w:ascii="宋体" w:eastAsia="宋体" w:hAnsi="宋体" w:cs="宋体" w:hint="eastAsia"/>
                <w:color w:val="000000"/>
                <w:kern w:val="0"/>
                <w:szCs w:val="21"/>
              </w:rPr>
              <w:t>况</w:t>
            </w:r>
            <w:proofErr w:type="gramEnd"/>
          </w:p>
        </w:tc>
        <w:tc>
          <w:tcPr>
            <w:tcW w:w="1625" w:type="pct"/>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121" w:lineRule="atLeast"/>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承担召回联系</w:t>
            </w:r>
            <w:r w:rsidRPr="004C08FF">
              <w:rPr>
                <w:rFonts w:ascii="ˎ̥" w:eastAsia="宋体" w:hAnsi="ˎ̥" w:cs="宋体"/>
                <w:color w:val="000000"/>
                <w:kern w:val="0"/>
                <w:sz w:val="18"/>
                <w:szCs w:val="18"/>
              </w:rPr>
              <w:br/>
            </w:r>
            <w:r w:rsidRPr="004C08FF">
              <w:rPr>
                <w:rFonts w:ascii="宋体" w:eastAsia="宋体" w:hAnsi="宋体" w:cs="宋体" w:hint="eastAsia"/>
                <w:color w:val="000000"/>
                <w:kern w:val="0"/>
                <w:szCs w:val="21"/>
              </w:rPr>
              <w:t>责任的收货人</w:t>
            </w:r>
          </w:p>
        </w:tc>
        <w:tc>
          <w:tcPr>
            <w:tcW w:w="10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121" w:lineRule="atLeast"/>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应当通知人数</w:t>
            </w:r>
          </w:p>
        </w:tc>
        <w:tc>
          <w:tcPr>
            <w:tcW w:w="20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121" w:lineRule="atLeast"/>
              <w:jc w:val="left"/>
              <w:rPr>
                <w:rFonts w:ascii="宋体" w:eastAsia="宋体" w:hAnsi="宋体" w:cs="宋体"/>
                <w:color w:val="000000"/>
                <w:kern w:val="0"/>
                <w:szCs w:val="21"/>
              </w:rPr>
            </w:pPr>
            <w:r w:rsidRPr="004C08FF">
              <w:rPr>
                <w:rFonts w:ascii="宋体" w:eastAsia="宋体" w:hAnsi="宋体" w:cs="宋体"/>
                <w:color w:val="000000"/>
                <w:kern w:val="0"/>
                <w:szCs w:val="21"/>
              </w:rPr>
              <w:t> </w:t>
            </w:r>
          </w:p>
        </w:tc>
      </w:tr>
      <w:tr w:rsidR="004C08FF" w:rsidRPr="004C08FF" w:rsidTr="004C08FF">
        <w:trPr>
          <w:cantSplit/>
          <w:trHeight w:val="119"/>
        </w:trPr>
        <w:tc>
          <w:tcPr>
            <w:tcW w:w="230" w:type="pct"/>
            <w:vMerge/>
            <w:tcBorders>
              <w:top w:val="nil"/>
              <w:left w:val="single" w:sz="8" w:space="0" w:color="auto"/>
              <w:bottom w:val="single" w:sz="8" w:space="0" w:color="auto"/>
              <w:right w:val="single" w:sz="8" w:space="0" w:color="auto"/>
            </w:tcBorders>
            <w:vAlign w:val="center"/>
            <w:hideMark/>
          </w:tcPr>
          <w:p w:rsidR="004C08FF" w:rsidRPr="004C08FF" w:rsidRDefault="004C08FF" w:rsidP="004C08FF">
            <w:pPr>
              <w:widowControl/>
              <w:jc w:val="left"/>
              <w:rPr>
                <w:rFonts w:ascii="宋体" w:eastAsia="宋体" w:hAnsi="宋体" w:cs="宋体"/>
                <w:color w:val="000000"/>
                <w:kern w:val="0"/>
                <w:szCs w:val="21"/>
              </w:rPr>
            </w:pPr>
          </w:p>
        </w:tc>
        <w:tc>
          <w:tcPr>
            <w:tcW w:w="1625" w:type="pct"/>
            <w:gridSpan w:val="2"/>
            <w:vMerge/>
            <w:tcBorders>
              <w:top w:val="nil"/>
              <w:left w:val="nil"/>
              <w:bottom w:val="single" w:sz="8" w:space="0" w:color="auto"/>
              <w:right w:val="single" w:sz="8" w:space="0" w:color="auto"/>
            </w:tcBorders>
            <w:vAlign w:val="center"/>
            <w:hideMark/>
          </w:tcPr>
          <w:p w:rsidR="004C08FF" w:rsidRPr="004C08FF" w:rsidRDefault="004C08FF" w:rsidP="004C08FF">
            <w:pPr>
              <w:widowControl/>
              <w:jc w:val="left"/>
              <w:rPr>
                <w:rFonts w:ascii="宋体" w:eastAsia="宋体" w:hAnsi="宋体" w:cs="宋体"/>
                <w:color w:val="000000"/>
                <w:kern w:val="0"/>
                <w:szCs w:val="21"/>
              </w:rPr>
            </w:pPr>
          </w:p>
        </w:tc>
        <w:tc>
          <w:tcPr>
            <w:tcW w:w="10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119" w:lineRule="atLeast"/>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已通知人数</w:t>
            </w:r>
          </w:p>
        </w:tc>
        <w:tc>
          <w:tcPr>
            <w:tcW w:w="20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119" w:lineRule="atLeast"/>
              <w:jc w:val="left"/>
              <w:rPr>
                <w:rFonts w:ascii="宋体" w:eastAsia="宋体" w:hAnsi="宋体" w:cs="宋体"/>
                <w:color w:val="000000"/>
                <w:kern w:val="0"/>
                <w:szCs w:val="21"/>
              </w:rPr>
            </w:pPr>
            <w:r w:rsidRPr="004C08FF">
              <w:rPr>
                <w:rFonts w:ascii="宋体" w:eastAsia="宋体" w:hAnsi="宋体" w:cs="宋体"/>
                <w:color w:val="000000"/>
                <w:kern w:val="0"/>
                <w:szCs w:val="21"/>
              </w:rPr>
              <w:t> </w:t>
            </w:r>
          </w:p>
        </w:tc>
      </w:tr>
      <w:tr w:rsidR="004C08FF" w:rsidRPr="004C08FF" w:rsidTr="004C08FF">
        <w:trPr>
          <w:cantSplit/>
          <w:trHeight w:val="119"/>
        </w:trPr>
        <w:tc>
          <w:tcPr>
            <w:tcW w:w="230" w:type="pct"/>
            <w:vMerge/>
            <w:tcBorders>
              <w:top w:val="nil"/>
              <w:left w:val="single" w:sz="8" w:space="0" w:color="auto"/>
              <w:bottom w:val="single" w:sz="8" w:space="0" w:color="auto"/>
              <w:right w:val="single" w:sz="8" w:space="0" w:color="auto"/>
            </w:tcBorders>
            <w:vAlign w:val="center"/>
            <w:hideMark/>
          </w:tcPr>
          <w:p w:rsidR="004C08FF" w:rsidRPr="004C08FF" w:rsidRDefault="004C08FF" w:rsidP="004C08FF">
            <w:pPr>
              <w:widowControl/>
              <w:jc w:val="left"/>
              <w:rPr>
                <w:rFonts w:ascii="宋体" w:eastAsia="宋体" w:hAnsi="宋体" w:cs="宋体"/>
                <w:color w:val="000000"/>
                <w:kern w:val="0"/>
                <w:szCs w:val="21"/>
              </w:rPr>
            </w:pPr>
          </w:p>
        </w:tc>
        <w:tc>
          <w:tcPr>
            <w:tcW w:w="1625" w:type="pct"/>
            <w:gridSpan w:val="2"/>
            <w:vMerge/>
            <w:tcBorders>
              <w:top w:val="nil"/>
              <w:left w:val="nil"/>
              <w:bottom w:val="single" w:sz="8" w:space="0" w:color="auto"/>
              <w:right w:val="single" w:sz="8" w:space="0" w:color="auto"/>
            </w:tcBorders>
            <w:vAlign w:val="center"/>
            <w:hideMark/>
          </w:tcPr>
          <w:p w:rsidR="004C08FF" w:rsidRPr="004C08FF" w:rsidRDefault="004C08FF" w:rsidP="004C08FF">
            <w:pPr>
              <w:widowControl/>
              <w:jc w:val="left"/>
              <w:rPr>
                <w:rFonts w:ascii="宋体" w:eastAsia="宋体" w:hAnsi="宋体" w:cs="宋体"/>
                <w:color w:val="000000"/>
                <w:kern w:val="0"/>
                <w:szCs w:val="21"/>
              </w:rPr>
            </w:pPr>
          </w:p>
        </w:tc>
        <w:tc>
          <w:tcPr>
            <w:tcW w:w="10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119" w:lineRule="atLeast"/>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通知时间</w:t>
            </w:r>
          </w:p>
        </w:tc>
        <w:tc>
          <w:tcPr>
            <w:tcW w:w="20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119" w:lineRule="atLeast"/>
              <w:jc w:val="left"/>
              <w:rPr>
                <w:rFonts w:ascii="宋体" w:eastAsia="宋体" w:hAnsi="宋体" w:cs="宋体"/>
                <w:color w:val="000000"/>
                <w:kern w:val="0"/>
                <w:szCs w:val="21"/>
              </w:rPr>
            </w:pPr>
            <w:r w:rsidRPr="004C08FF">
              <w:rPr>
                <w:rFonts w:ascii="宋体" w:eastAsia="宋体" w:hAnsi="宋体" w:cs="宋体"/>
                <w:color w:val="000000"/>
                <w:kern w:val="0"/>
                <w:szCs w:val="21"/>
              </w:rPr>
              <w:t> </w:t>
            </w:r>
          </w:p>
        </w:tc>
      </w:tr>
      <w:tr w:rsidR="004C08FF" w:rsidRPr="004C08FF" w:rsidTr="004C08FF">
        <w:trPr>
          <w:cantSplit/>
          <w:trHeight w:val="119"/>
        </w:trPr>
        <w:tc>
          <w:tcPr>
            <w:tcW w:w="230" w:type="pct"/>
            <w:vMerge/>
            <w:tcBorders>
              <w:top w:val="nil"/>
              <w:left w:val="single" w:sz="8" w:space="0" w:color="auto"/>
              <w:bottom w:val="single" w:sz="8" w:space="0" w:color="auto"/>
              <w:right w:val="single" w:sz="8" w:space="0" w:color="auto"/>
            </w:tcBorders>
            <w:vAlign w:val="center"/>
            <w:hideMark/>
          </w:tcPr>
          <w:p w:rsidR="004C08FF" w:rsidRPr="004C08FF" w:rsidRDefault="004C08FF" w:rsidP="004C08FF">
            <w:pPr>
              <w:widowControl/>
              <w:jc w:val="left"/>
              <w:rPr>
                <w:rFonts w:ascii="宋体" w:eastAsia="宋体" w:hAnsi="宋体" w:cs="宋体"/>
                <w:color w:val="000000"/>
                <w:kern w:val="0"/>
                <w:szCs w:val="21"/>
              </w:rPr>
            </w:pPr>
          </w:p>
        </w:tc>
        <w:tc>
          <w:tcPr>
            <w:tcW w:w="1625" w:type="pct"/>
            <w:gridSpan w:val="2"/>
            <w:vMerge/>
            <w:tcBorders>
              <w:top w:val="nil"/>
              <w:left w:val="nil"/>
              <w:bottom w:val="single" w:sz="8" w:space="0" w:color="auto"/>
              <w:right w:val="single" w:sz="8" w:space="0" w:color="auto"/>
            </w:tcBorders>
            <w:vAlign w:val="center"/>
            <w:hideMark/>
          </w:tcPr>
          <w:p w:rsidR="004C08FF" w:rsidRPr="004C08FF" w:rsidRDefault="004C08FF" w:rsidP="004C08FF">
            <w:pPr>
              <w:widowControl/>
              <w:jc w:val="left"/>
              <w:rPr>
                <w:rFonts w:ascii="宋体" w:eastAsia="宋体" w:hAnsi="宋体" w:cs="宋体"/>
                <w:color w:val="000000"/>
                <w:kern w:val="0"/>
                <w:szCs w:val="21"/>
              </w:rPr>
            </w:pPr>
          </w:p>
        </w:tc>
        <w:tc>
          <w:tcPr>
            <w:tcW w:w="10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119" w:lineRule="atLeast"/>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通知方式</w:t>
            </w:r>
          </w:p>
        </w:tc>
        <w:tc>
          <w:tcPr>
            <w:tcW w:w="20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119" w:lineRule="atLeast"/>
              <w:jc w:val="left"/>
              <w:rPr>
                <w:rFonts w:ascii="宋体" w:eastAsia="宋体" w:hAnsi="宋体" w:cs="宋体"/>
                <w:color w:val="000000"/>
                <w:kern w:val="0"/>
                <w:szCs w:val="21"/>
              </w:rPr>
            </w:pPr>
            <w:r w:rsidRPr="004C08FF">
              <w:rPr>
                <w:rFonts w:ascii="宋体" w:eastAsia="宋体" w:hAnsi="宋体" w:cs="宋体"/>
                <w:color w:val="000000"/>
                <w:kern w:val="0"/>
                <w:szCs w:val="21"/>
              </w:rPr>
              <w:t> </w:t>
            </w:r>
          </w:p>
        </w:tc>
      </w:tr>
      <w:tr w:rsidR="004C08FF" w:rsidRPr="004C08FF" w:rsidTr="004C08FF">
        <w:trPr>
          <w:cantSplit/>
          <w:trHeight w:val="119"/>
        </w:trPr>
        <w:tc>
          <w:tcPr>
            <w:tcW w:w="230" w:type="pct"/>
            <w:vMerge/>
            <w:tcBorders>
              <w:top w:val="nil"/>
              <w:left w:val="single" w:sz="8" w:space="0" w:color="auto"/>
              <w:bottom w:val="single" w:sz="8" w:space="0" w:color="auto"/>
              <w:right w:val="single" w:sz="8" w:space="0" w:color="auto"/>
            </w:tcBorders>
            <w:vAlign w:val="center"/>
            <w:hideMark/>
          </w:tcPr>
          <w:p w:rsidR="004C08FF" w:rsidRPr="004C08FF" w:rsidRDefault="004C08FF" w:rsidP="004C08FF">
            <w:pPr>
              <w:widowControl/>
              <w:jc w:val="left"/>
              <w:rPr>
                <w:rFonts w:ascii="宋体" w:eastAsia="宋体" w:hAnsi="宋体" w:cs="宋体"/>
                <w:color w:val="000000"/>
                <w:kern w:val="0"/>
                <w:szCs w:val="21"/>
              </w:rPr>
            </w:pPr>
          </w:p>
        </w:tc>
        <w:tc>
          <w:tcPr>
            <w:tcW w:w="1625" w:type="pct"/>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119" w:lineRule="atLeast"/>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其他收货人</w:t>
            </w:r>
          </w:p>
        </w:tc>
        <w:tc>
          <w:tcPr>
            <w:tcW w:w="10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119" w:lineRule="atLeast"/>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应当通知人数</w:t>
            </w:r>
          </w:p>
        </w:tc>
        <w:tc>
          <w:tcPr>
            <w:tcW w:w="20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119" w:lineRule="atLeast"/>
              <w:jc w:val="left"/>
              <w:rPr>
                <w:rFonts w:ascii="宋体" w:eastAsia="宋体" w:hAnsi="宋体" w:cs="宋体"/>
                <w:color w:val="000000"/>
                <w:kern w:val="0"/>
                <w:szCs w:val="21"/>
              </w:rPr>
            </w:pPr>
            <w:r w:rsidRPr="004C08FF">
              <w:rPr>
                <w:rFonts w:ascii="宋体" w:eastAsia="宋体" w:hAnsi="宋体" w:cs="宋体"/>
                <w:color w:val="000000"/>
                <w:kern w:val="0"/>
                <w:szCs w:val="21"/>
              </w:rPr>
              <w:t> </w:t>
            </w:r>
          </w:p>
        </w:tc>
      </w:tr>
      <w:tr w:rsidR="004C08FF" w:rsidRPr="004C08FF" w:rsidTr="004C08FF">
        <w:trPr>
          <w:cantSplit/>
          <w:trHeight w:val="119"/>
        </w:trPr>
        <w:tc>
          <w:tcPr>
            <w:tcW w:w="230" w:type="pct"/>
            <w:vMerge/>
            <w:tcBorders>
              <w:top w:val="nil"/>
              <w:left w:val="single" w:sz="8" w:space="0" w:color="auto"/>
              <w:bottom w:val="single" w:sz="8" w:space="0" w:color="auto"/>
              <w:right w:val="single" w:sz="8" w:space="0" w:color="auto"/>
            </w:tcBorders>
            <w:vAlign w:val="center"/>
            <w:hideMark/>
          </w:tcPr>
          <w:p w:rsidR="004C08FF" w:rsidRPr="004C08FF" w:rsidRDefault="004C08FF" w:rsidP="004C08FF">
            <w:pPr>
              <w:widowControl/>
              <w:jc w:val="left"/>
              <w:rPr>
                <w:rFonts w:ascii="宋体" w:eastAsia="宋体" w:hAnsi="宋体" w:cs="宋体"/>
                <w:color w:val="000000"/>
                <w:kern w:val="0"/>
                <w:szCs w:val="21"/>
              </w:rPr>
            </w:pPr>
          </w:p>
        </w:tc>
        <w:tc>
          <w:tcPr>
            <w:tcW w:w="1625" w:type="pct"/>
            <w:gridSpan w:val="2"/>
            <w:vMerge/>
            <w:tcBorders>
              <w:top w:val="nil"/>
              <w:left w:val="nil"/>
              <w:bottom w:val="single" w:sz="8" w:space="0" w:color="auto"/>
              <w:right w:val="single" w:sz="8" w:space="0" w:color="auto"/>
            </w:tcBorders>
            <w:vAlign w:val="center"/>
            <w:hideMark/>
          </w:tcPr>
          <w:p w:rsidR="004C08FF" w:rsidRPr="004C08FF" w:rsidRDefault="004C08FF" w:rsidP="004C08FF">
            <w:pPr>
              <w:widowControl/>
              <w:jc w:val="left"/>
              <w:rPr>
                <w:rFonts w:ascii="宋体" w:eastAsia="宋体" w:hAnsi="宋体" w:cs="宋体"/>
                <w:color w:val="000000"/>
                <w:kern w:val="0"/>
                <w:szCs w:val="21"/>
              </w:rPr>
            </w:pPr>
          </w:p>
        </w:tc>
        <w:tc>
          <w:tcPr>
            <w:tcW w:w="10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119" w:lineRule="atLeast"/>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已通知人数</w:t>
            </w:r>
          </w:p>
        </w:tc>
        <w:tc>
          <w:tcPr>
            <w:tcW w:w="20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119" w:lineRule="atLeast"/>
              <w:jc w:val="left"/>
              <w:rPr>
                <w:rFonts w:ascii="宋体" w:eastAsia="宋体" w:hAnsi="宋体" w:cs="宋体"/>
                <w:color w:val="000000"/>
                <w:kern w:val="0"/>
                <w:szCs w:val="21"/>
              </w:rPr>
            </w:pPr>
            <w:r w:rsidRPr="004C08FF">
              <w:rPr>
                <w:rFonts w:ascii="宋体" w:eastAsia="宋体" w:hAnsi="宋体" w:cs="宋体"/>
                <w:color w:val="000000"/>
                <w:kern w:val="0"/>
                <w:szCs w:val="21"/>
              </w:rPr>
              <w:t> </w:t>
            </w:r>
          </w:p>
        </w:tc>
      </w:tr>
      <w:tr w:rsidR="004C08FF" w:rsidRPr="004C08FF" w:rsidTr="004C08FF">
        <w:trPr>
          <w:cantSplit/>
          <w:trHeight w:val="119"/>
        </w:trPr>
        <w:tc>
          <w:tcPr>
            <w:tcW w:w="230" w:type="pct"/>
            <w:vMerge/>
            <w:tcBorders>
              <w:top w:val="nil"/>
              <w:left w:val="single" w:sz="8" w:space="0" w:color="auto"/>
              <w:bottom w:val="single" w:sz="8" w:space="0" w:color="auto"/>
              <w:right w:val="single" w:sz="8" w:space="0" w:color="auto"/>
            </w:tcBorders>
            <w:vAlign w:val="center"/>
            <w:hideMark/>
          </w:tcPr>
          <w:p w:rsidR="004C08FF" w:rsidRPr="004C08FF" w:rsidRDefault="004C08FF" w:rsidP="004C08FF">
            <w:pPr>
              <w:widowControl/>
              <w:jc w:val="left"/>
              <w:rPr>
                <w:rFonts w:ascii="宋体" w:eastAsia="宋体" w:hAnsi="宋体" w:cs="宋体"/>
                <w:color w:val="000000"/>
                <w:kern w:val="0"/>
                <w:szCs w:val="21"/>
              </w:rPr>
            </w:pPr>
          </w:p>
        </w:tc>
        <w:tc>
          <w:tcPr>
            <w:tcW w:w="1625" w:type="pct"/>
            <w:gridSpan w:val="2"/>
            <w:vMerge/>
            <w:tcBorders>
              <w:top w:val="nil"/>
              <w:left w:val="nil"/>
              <w:bottom w:val="single" w:sz="8" w:space="0" w:color="auto"/>
              <w:right w:val="single" w:sz="8" w:space="0" w:color="auto"/>
            </w:tcBorders>
            <w:vAlign w:val="center"/>
            <w:hideMark/>
          </w:tcPr>
          <w:p w:rsidR="004C08FF" w:rsidRPr="004C08FF" w:rsidRDefault="004C08FF" w:rsidP="004C08FF">
            <w:pPr>
              <w:widowControl/>
              <w:jc w:val="left"/>
              <w:rPr>
                <w:rFonts w:ascii="宋体" w:eastAsia="宋体" w:hAnsi="宋体" w:cs="宋体"/>
                <w:color w:val="000000"/>
                <w:kern w:val="0"/>
                <w:szCs w:val="21"/>
              </w:rPr>
            </w:pPr>
          </w:p>
        </w:tc>
        <w:tc>
          <w:tcPr>
            <w:tcW w:w="10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119" w:lineRule="atLeast"/>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通知时间</w:t>
            </w:r>
          </w:p>
        </w:tc>
        <w:tc>
          <w:tcPr>
            <w:tcW w:w="20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119" w:lineRule="atLeast"/>
              <w:jc w:val="left"/>
              <w:rPr>
                <w:rFonts w:ascii="宋体" w:eastAsia="宋体" w:hAnsi="宋体" w:cs="宋体"/>
                <w:color w:val="000000"/>
                <w:kern w:val="0"/>
                <w:szCs w:val="21"/>
              </w:rPr>
            </w:pPr>
            <w:r w:rsidRPr="004C08FF">
              <w:rPr>
                <w:rFonts w:ascii="宋体" w:eastAsia="宋体" w:hAnsi="宋体" w:cs="宋体"/>
                <w:color w:val="000000"/>
                <w:kern w:val="0"/>
                <w:szCs w:val="21"/>
              </w:rPr>
              <w:t> </w:t>
            </w:r>
          </w:p>
        </w:tc>
      </w:tr>
      <w:tr w:rsidR="004C08FF" w:rsidRPr="004C08FF" w:rsidTr="004C08FF">
        <w:trPr>
          <w:cantSplit/>
          <w:trHeight w:val="119"/>
        </w:trPr>
        <w:tc>
          <w:tcPr>
            <w:tcW w:w="230" w:type="pct"/>
            <w:vMerge/>
            <w:tcBorders>
              <w:top w:val="nil"/>
              <w:left w:val="single" w:sz="8" w:space="0" w:color="auto"/>
              <w:bottom w:val="single" w:sz="8" w:space="0" w:color="auto"/>
              <w:right w:val="single" w:sz="8" w:space="0" w:color="auto"/>
            </w:tcBorders>
            <w:vAlign w:val="center"/>
            <w:hideMark/>
          </w:tcPr>
          <w:p w:rsidR="004C08FF" w:rsidRPr="004C08FF" w:rsidRDefault="004C08FF" w:rsidP="004C08FF">
            <w:pPr>
              <w:widowControl/>
              <w:jc w:val="left"/>
              <w:rPr>
                <w:rFonts w:ascii="宋体" w:eastAsia="宋体" w:hAnsi="宋体" w:cs="宋体"/>
                <w:color w:val="000000"/>
                <w:kern w:val="0"/>
                <w:szCs w:val="21"/>
              </w:rPr>
            </w:pPr>
          </w:p>
        </w:tc>
        <w:tc>
          <w:tcPr>
            <w:tcW w:w="1625" w:type="pct"/>
            <w:gridSpan w:val="2"/>
            <w:vMerge/>
            <w:tcBorders>
              <w:top w:val="nil"/>
              <w:left w:val="nil"/>
              <w:bottom w:val="single" w:sz="8" w:space="0" w:color="auto"/>
              <w:right w:val="single" w:sz="8" w:space="0" w:color="auto"/>
            </w:tcBorders>
            <w:vAlign w:val="center"/>
            <w:hideMark/>
          </w:tcPr>
          <w:p w:rsidR="004C08FF" w:rsidRPr="004C08FF" w:rsidRDefault="004C08FF" w:rsidP="004C08FF">
            <w:pPr>
              <w:widowControl/>
              <w:jc w:val="left"/>
              <w:rPr>
                <w:rFonts w:ascii="宋体" w:eastAsia="宋体" w:hAnsi="宋体" w:cs="宋体"/>
                <w:color w:val="000000"/>
                <w:kern w:val="0"/>
                <w:szCs w:val="21"/>
              </w:rPr>
            </w:pPr>
          </w:p>
        </w:tc>
        <w:tc>
          <w:tcPr>
            <w:tcW w:w="108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119" w:lineRule="atLeast"/>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通知方式</w:t>
            </w:r>
          </w:p>
        </w:tc>
        <w:tc>
          <w:tcPr>
            <w:tcW w:w="20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119" w:lineRule="atLeast"/>
              <w:jc w:val="left"/>
              <w:rPr>
                <w:rFonts w:ascii="宋体" w:eastAsia="宋体" w:hAnsi="宋体" w:cs="宋体"/>
                <w:color w:val="000000"/>
                <w:kern w:val="0"/>
                <w:szCs w:val="21"/>
              </w:rPr>
            </w:pPr>
            <w:r w:rsidRPr="004C08FF">
              <w:rPr>
                <w:rFonts w:ascii="宋体" w:eastAsia="宋体" w:hAnsi="宋体" w:cs="宋体"/>
                <w:color w:val="000000"/>
                <w:kern w:val="0"/>
                <w:szCs w:val="21"/>
              </w:rPr>
              <w:t> </w:t>
            </w:r>
          </w:p>
        </w:tc>
      </w:tr>
      <w:tr w:rsidR="004C08FF" w:rsidRPr="004C08FF" w:rsidTr="004C08FF">
        <w:trPr>
          <w:cantSplit/>
          <w:trHeight w:val="473"/>
        </w:trPr>
        <w:tc>
          <w:tcPr>
            <w:tcW w:w="23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完</w:t>
            </w:r>
          </w:p>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成</w:t>
            </w:r>
          </w:p>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情</w:t>
            </w:r>
          </w:p>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proofErr w:type="gramStart"/>
            <w:r w:rsidRPr="004C08FF">
              <w:rPr>
                <w:rFonts w:ascii="宋体" w:eastAsia="宋体" w:hAnsi="宋体" w:cs="宋体" w:hint="eastAsia"/>
                <w:color w:val="000000"/>
                <w:kern w:val="0"/>
                <w:szCs w:val="21"/>
              </w:rPr>
              <w:t>况</w:t>
            </w:r>
            <w:proofErr w:type="gramEnd"/>
          </w:p>
        </w:tc>
        <w:tc>
          <w:tcPr>
            <w:tcW w:w="162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应当召回数量</w:t>
            </w:r>
          </w:p>
        </w:tc>
        <w:tc>
          <w:tcPr>
            <w:tcW w:w="3145"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left"/>
              <w:rPr>
                <w:rFonts w:ascii="宋体" w:eastAsia="宋体" w:hAnsi="宋体" w:cs="宋体"/>
                <w:color w:val="000000"/>
                <w:kern w:val="0"/>
                <w:szCs w:val="21"/>
              </w:rPr>
            </w:pPr>
            <w:r w:rsidRPr="004C08FF">
              <w:rPr>
                <w:rFonts w:ascii="宋体" w:eastAsia="宋体" w:hAnsi="宋体" w:cs="宋体"/>
                <w:color w:val="000000"/>
                <w:kern w:val="0"/>
                <w:szCs w:val="21"/>
              </w:rPr>
              <w:t> </w:t>
            </w:r>
          </w:p>
        </w:tc>
      </w:tr>
      <w:tr w:rsidR="004C08FF" w:rsidRPr="004C08FF" w:rsidTr="004C08FF">
        <w:trPr>
          <w:cantSplit/>
          <w:trHeight w:val="451"/>
        </w:trPr>
        <w:tc>
          <w:tcPr>
            <w:tcW w:w="230" w:type="pct"/>
            <w:vMerge/>
            <w:tcBorders>
              <w:top w:val="nil"/>
              <w:left w:val="single" w:sz="8" w:space="0" w:color="auto"/>
              <w:bottom w:val="single" w:sz="8" w:space="0" w:color="auto"/>
              <w:right w:val="single" w:sz="8" w:space="0" w:color="auto"/>
            </w:tcBorders>
            <w:vAlign w:val="center"/>
            <w:hideMark/>
          </w:tcPr>
          <w:p w:rsidR="004C08FF" w:rsidRPr="004C08FF" w:rsidRDefault="004C08FF" w:rsidP="004C08FF">
            <w:pPr>
              <w:widowControl/>
              <w:jc w:val="left"/>
              <w:rPr>
                <w:rFonts w:ascii="宋体" w:eastAsia="宋体" w:hAnsi="宋体" w:cs="宋体"/>
                <w:color w:val="000000"/>
                <w:kern w:val="0"/>
                <w:szCs w:val="21"/>
              </w:rPr>
            </w:pPr>
          </w:p>
        </w:tc>
        <w:tc>
          <w:tcPr>
            <w:tcW w:w="162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已完成数量</w:t>
            </w:r>
          </w:p>
        </w:tc>
        <w:tc>
          <w:tcPr>
            <w:tcW w:w="3145"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left"/>
              <w:rPr>
                <w:rFonts w:ascii="宋体" w:eastAsia="宋体" w:hAnsi="宋体" w:cs="宋体"/>
                <w:color w:val="000000"/>
                <w:kern w:val="0"/>
                <w:szCs w:val="21"/>
              </w:rPr>
            </w:pPr>
            <w:r w:rsidRPr="004C08FF">
              <w:rPr>
                <w:rFonts w:ascii="宋体" w:eastAsia="宋体" w:hAnsi="宋体" w:cs="宋体"/>
                <w:color w:val="000000"/>
                <w:kern w:val="0"/>
                <w:szCs w:val="21"/>
              </w:rPr>
              <w:t> </w:t>
            </w:r>
          </w:p>
        </w:tc>
      </w:tr>
      <w:tr w:rsidR="004C08FF" w:rsidRPr="004C08FF" w:rsidTr="004C08FF">
        <w:trPr>
          <w:cantSplit/>
          <w:trHeight w:val="219"/>
        </w:trPr>
        <w:tc>
          <w:tcPr>
            <w:tcW w:w="230" w:type="pct"/>
            <w:vMerge/>
            <w:tcBorders>
              <w:top w:val="nil"/>
              <w:left w:val="single" w:sz="8" w:space="0" w:color="auto"/>
              <w:bottom w:val="single" w:sz="8" w:space="0" w:color="auto"/>
              <w:right w:val="single" w:sz="8" w:space="0" w:color="auto"/>
            </w:tcBorders>
            <w:vAlign w:val="center"/>
            <w:hideMark/>
          </w:tcPr>
          <w:p w:rsidR="004C08FF" w:rsidRPr="004C08FF" w:rsidRDefault="004C08FF" w:rsidP="004C08FF">
            <w:pPr>
              <w:widowControl/>
              <w:jc w:val="left"/>
              <w:rPr>
                <w:rFonts w:ascii="宋体" w:eastAsia="宋体" w:hAnsi="宋体" w:cs="宋体"/>
                <w:color w:val="000000"/>
                <w:kern w:val="0"/>
                <w:szCs w:val="21"/>
              </w:rPr>
            </w:pPr>
          </w:p>
        </w:tc>
        <w:tc>
          <w:tcPr>
            <w:tcW w:w="162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有效性检查情况</w:t>
            </w:r>
          </w:p>
        </w:tc>
        <w:tc>
          <w:tcPr>
            <w:tcW w:w="3145"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left"/>
              <w:rPr>
                <w:rFonts w:ascii="宋体" w:eastAsia="宋体" w:hAnsi="宋体" w:cs="宋体"/>
                <w:color w:val="000000"/>
                <w:kern w:val="0"/>
                <w:szCs w:val="21"/>
              </w:rPr>
            </w:pPr>
            <w:r w:rsidRPr="004C08FF">
              <w:rPr>
                <w:rFonts w:ascii="宋体" w:eastAsia="宋体" w:hAnsi="宋体" w:cs="宋体"/>
                <w:color w:val="000000"/>
                <w:kern w:val="0"/>
                <w:szCs w:val="21"/>
              </w:rPr>
              <w:t> </w:t>
            </w:r>
          </w:p>
        </w:tc>
      </w:tr>
      <w:tr w:rsidR="004C08FF" w:rsidRPr="004C08FF" w:rsidTr="004C08FF">
        <w:trPr>
          <w:trHeight w:val="437"/>
        </w:trPr>
        <w:tc>
          <w:tcPr>
            <w:tcW w:w="185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召回产品的处理措施</w:t>
            </w:r>
          </w:p>
        </w:tc>
        <w:tc>
          <w:tcPr>
            <w:tcW w:w="3145"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left"/>
              <w:rPr>
                <w:rFonts w:ascii="宋体" w:eastAsia="宋体" w:hAnsi="宋体" w:cs="宋体"/>
                <w:color w:val="000000"/>
                <w:kern w:val="0"/>
                <w:szCs w:val="21"/>
              </w:rPr>
            </w:pPr>
            <w:r w:rsidRPr="004C08FF">
              <w:rPr>
                <w:rFonts w:ascii="宋体" w:eastAsia="宋体" w:hAnsi="宋体" w:cs="宋体"/>
                <w:color w:val="000000"/>
                <w:kern w:val="0"/>
                <w:szCs w:val="21"/>
              </w:rPr>
              <w:t> </w:t>
            </w:r>
          </w:p>
        </w:tc>
      </w:tr>
      <w:tr w:rsidR="004C08FF" w:rsidRPr="004C08FF" w:rsidTr="004C08FF">
        <w:trPr>
          <w:trHeight w:val="457"/>
        </w:trPr>
        <w:tc>
          <w:tcPr>
            <w:tcW w:w="185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完成召回需要时间估计</w:t>
            </w:r>
          </w:p>
        </w:tc>
        <w:tc>
          <w:tcPr>
            <w:tcW w:w="3145"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left"/>
              <w:rPr>
                <w:rFonts w:ascii="宋体" w:eastAsia="宋体" w:hAnsi="宋体" w:cs="宋体"/>
                <w:color w:val="000000"/>
                <w:kern w:val="0"/>
                <w:szCs w:val="21"/>
              </w:rPr>
            </w:pPr>
            <w:r w:rsidRPr="004C08FF">
              <w:rPr>
                <w:rFonts w:ascii="宋体" w:eastAsia="宋体" w:hAnsi="宋体" w:cs="宋体"/>
                <w:color w:val="000000"/>
                <w:kern w:val="0"/>
                <w:szCs w:val="21"/>
              </w:rPr>
              <w:t> </w:t>
            </w:r>
          </w:p>
        </w:tc>
      </w:tr>
      <w:tr w:rsidR="004C08FF" w:rsidRPr="004C08FF" w:rsidTr="004C08FF">
        <w:trPr>
          <w:trHeight w:val="6124"/>
        </w:trPr>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lastRenderedPageBreak/>
              <w:t>其</w:t>
            </w:r>
          </w:p>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他</w:t>
            </w:r>
          </w:p>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r w:rsidRPr="004C08FF">
              <w:rPr>
                <w:rFonts w:ascii="宋体" w:eastAsia="宋体" w:hAnsi="宋体" w:cs="宋体" w:hint="eastAsia"/>
                <w:color w:val="000000"/>
                <w:kern w:val="0"/>
                <w:szCs w:val="21"/>
              </w:rPr>
              <w:t>情</w:t>
            </w:r>
          </w:p>
          <w:p w:rsidR="004C08FF" w:rsidRPr="004C08FF" w:rsidRDefault="004C08FF" w:rsidP="004C08FF">
            <w:pPr>
              <w:widowControl/>
              <w:wordWrap w:val="0"/>
              <w:spacing w:before="100" w:beforeAutospacing="1" w:after="100" w:afterAutospacing="1" w:line="480" w:lineRule="auto"/>
              <w:jc w:val="center"/>
              <w:rPr>
                <w:rFonts w:ascii="宋体" w:eastAsia="宋体" w:hAnsi="宋体" w:cs="宋体"/>
                <w:color w:val="000000"/>
                <w:kern w:val="0"/>
                <w:szCs w:val="21"/>
              </w:rPr>
            </w:pPr>
            <w:proofErr w:type="gramStart"/>
            <w:r w:rsidRPr="004C08FF">
              <w:rPr>
                <w:rFonts w:ascii="宋体" w:eastAsia="宋体" w:hAnsi="宋体" w:cs="宋体" w:hint="eastAsia"/>
                <w:color w:val="000000"/>
                <w:kern w:val="0"/>
                <w:szCs w:val="21"/>
              </w:rPr>
              <w:t>况</w:t>
            </w:r>
            <w:proofErr w:type="gramEnd"/>
          </w:p>
        </w:tc>
        <w:tc>
          <w:tcPr>
            <w:tcW w:w="4770"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C08FF" w:rsidRPr="004C08FF" w:rsidRDefault="004C08FF" w:rsidP="004C08FF">
            <w:pPr>
              <w:widowControl/>
              <w:wordWrap w:val="0"/>
              <w:spacing w:before="100" w:beforeAutospacing="1" w:after="100" w:afterAutospacing="1" w:line="480" w:lineRule="auto"/>
              <w:jc w:val="left"/>
              <w:rPr>
                <w:rFonts w:ascii="宋体" w:eastAsia="宋体" w:hAnsi="宋体" w:cs="宋体"/>
                <w:color w:val="000000"/>
                <w:kern w:val="0"/>
                <w:szCs w:val="21"/>
              </w:rPr>
            </w:pPr>
            <w:r w:rsidRPr="004C08FF">
              <w:rPr>
                <w:rFonts w:ascii="宋体" w:eastAsia="宋体" w:hAnsi="宋体" w:cs="宋体"/>
                <w:color w:val="000000"/>
                <w:kern w:val="0"/>
                <w:szCs w:val="21"/>
              </w:rPr>
              <w:t> </w:t>
            </w:r>
          </w:p>
        </w:tc>
      </w:tr>
    </w:tbl>
    <w:p w:rsidR="004C08FF" w:rsidRPr="004C08FF" w:rsidRDefault="004C08FF" w:rsidP="004C08FF">
      <w:pPr>
        <w:widowControl/>
        <w:wordWrap w:val="0"/>
        <w:spacing w:before="100" w:beforeAutospacing="1" w:after="100" w:afterAutospacing="1" w:line="480" w:lineRule="auto"/>
        <w:ind w:firstLine="420"/>
        <w:jc w:val="left"/>
        <w:rPr>
          <w:rFonts w:ascii="宋体" w:eastAsia="宋体" w:hAnsi="宋体" w:cs="宋体"/>
          <w:color w:val="000000"/>
          <w:kern w:val="0"/>
          <w:szCs w:val="21"/>
        </w:rPr>
      </w:pPr>
      <w:r w:rsidRPr="004C08FF">
        <w:rPr>
          <w:rFonts w:ascii="宋体" w:eastAsia="宋体" w:hAnsi="宋体" w:cs="宋体" w:hint="eastAsia"/>
          <w:color w:val="000000"/>
          <w:kern w:val="0"/>
          <w:szCs w:val="21"/>
        </w:rPr>
        <w:t>报告单位：（盖章）</w:t>
      </w:r>
      <w:proofErr w:type="gramStart"/>
      <w:r w:rsidRPr="004C08FF">
        <w:rPr>
          <w:rFonts w:ascii="宋体" w:eastAsia="宋体" w:hAnsi="宋体" w:cs="宋体" w:hint="eastAsia"/>
          <w:color w:val="000000"/>
          <w:kern w:val="0"/>
          <w:szCs w:val="21"/>
        </w:rPr>
        <w:t xml:space="preserve">　　　　　　　　　　　　　　　　　　</w:t>
      </w:r>
      <w:proofErr w:type="gramEnd"/>
      <w:r w:rsidRPr="004C08FF">
        <w:rPr>
          <w:rFonts w:ascii="宋体" w:eastAsia="宋体" w:hAnsi="宋体" w:cs="宋体" w:hint="eastAsia"/>
          <w:color w:val="000000"/>
          <w:kern w:val="0"/>
          <w:szCs w:val="21"/>
        </w:rPr>
        <w:t>负责人：（签字）</w:t>
      </w:r>
      <w:r w:rsidRPr="004C08FF">
        <w:rPr>
          <w:rFonts w:ascii="ˎ̥" w:eastAsia="宋体" w:hAnsi="ˎ̥" w:cs="宋体"/>
          <w:color w:val="000000"/>
          <w:kern w:val="0"/>
          <w:sz w:val="18"/>
          <w:szCs w:val="18"/>
        </w:rPr>
        <w:br/>
      </w:r>
      <w:r w:rsidRPr="004C08FF">
        <w:rPr>
          <w:rFonts w:ascii="宋体" w:eastAsia="宋体" w:hAnsi="宋体" w:cs="宋体" w:hint="eastAsia"/>
          <w:color w:val="000000"/>
          <w:kern w:val="0"/>
          <w:szCs w:val="21"/>
        </w:rPr>
        <w:t xml:space="preserve">　　报告人：（签字）</w:t>
      </w:r>
      <w:proofErr w:type="gramStart"/>
      <w:r w:rsidRPr="004C08FF">
        <w:rPr>
          <w:rFonts w:ascii="宋体" w:eastAsia="宋体" w:hAnsi="宋体" w:cs="宋体" w:hint="eastAsia"/>
          <w:color w:val="000000"/>
          <w:kern w:val="0"/>
          <w:szCs w:val="21"/>
        </w:rPr>
        <w:t xml:space="preserve">　　　　　　　　　　　　　　　　　　　</w:t>
      </w:r>
      <w:proofErr w:type="gramEnd"/>
      <w:r w:rsidRPr="004C08FF">
        <w:rPr>
          <w:rFonts w:ascii="宋体" w:eastAsia="宋体" w:hAnsi="宋体" w:cs="宋体" w:hint="eastAsia"/>
          <w:color w:val="000000"/>
          <w:kern w:val="0"/>
          <w:szCs w:val="21"/>
        </w:rPr>
        <w:t>报告日期：</w:t>
      </w:r>
    </w:p>
    <w:p w:rsidR="003A480D" w:rsidRPr="004C08FF" w:rsidRDefault="003A480D"/>
    <w:sectPr w:rsidR="003A480D" w:rsidRPr="004C08FF" w:rsidSect="003A48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08FF"/>
    <w:rsid w:val="003A480D"/>
    <w:rsid w:val="00420EC4"/>
    <w:rsid w:val="004C08FF"/>
    <w:rsid w:val="00704F59"/>
    <w:rsid w:val="00A41CD5"/>
    <w:rsid w:val="00A55211"/>
    <w:rsid w:val="00B86755"/>
    <w:rsid w:val="00D974AC"/>
    <w:rsid w:val="00F975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8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08F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877</Words>
  <Characters>5003</Characters>
  <Application>Microsoft Office Word</Application>
  <DocSecurity>0</DocSecurity>
  <Lines>41</Lines>
  <Paragraphs>11</Paragraphs>
  <ScaleCrop>false</ScaleCrop>
  <Company>微软中国</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Arenas</dc:creator>
  <cp:keywords/>
  <dc:description/>
  <cp:lastModifiedBy>Arenas</cp:lastModifiedBy>
  <cp:revision>1</cp:revision>
  <dcterms:created xsi:type="dcterms:W3CDTF">2013-10-31T02:46:00Z</dcterms:created>
  <dcterms:modified xsi:type="dcterms:W3CDTF">2013-10-31T02:49:00Z</dcterms:modified>
</cp:coreProperties>
</file>