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75" w:rsidRDefault="008F6F75" w:rsidP="008F6F75">
      <w:pPr>
        <w:spacing w:before="100" w:beforeAutospacing="1" w:after="100" w:afterAutospacing="1" w:line="480" w:lineRule="auto"/>
        <w:jc w:val="center"/>
        <w:rPr>
          <w:rFonts w:ascii="仿宋_GB2312" w:eastAsia="仿宋_GB2312" w:hAnsi="ˎ̥" w:cs="Arial" w:hint="eastAsia"/>
          <w:b/>
          <w:bCs/>
          <w:color w:val="093A96"/>
          <w:sz w:val="33"/>
          <w:szCs w:val="33"/>
          <w:lang w:eastAsia="zh-CN"/>
        </w:rPr>
      </w:pPr>
      <w:r w:rsidRPr="008F6F75">
        <w:rPr>
          <w:rFonts w:ascii="仿宋_GB2312" w:eastAsia="仿宋_GB2312" w:hAnsi="ˎ̥" w:cs="Arial"/>
          <w:b/>
          <w:bCs/>
          <w:color w:val="093A96"/>
          <w:sz w:val="33"/>
          <w:szCs w:val="33"/>
          <w:lang w:eastAsia="zh-CN"/>
        </w:rPr>
        <w:t>关于印发化妆品新原料申报与审评指南的通知</w:t>
      </w:r>
    </w:p>
    <w:p w:rsidR="008F6F75" w:rsidRPr="008F6F75" w:rsidRDefault="008F6F75" w:rsidP="008F6F75">
      <w:pPr>
        <w:spacing w:before="100" w:beforeAutospacing="1" w:after="100" w:afterAutospacing="1" w:line="480" w:lineRule="auto"/>
        <w:jc w:val="center"/>
        <w:rPr>
          <w:rFonts w:ascii="仿宋_GB2312" w:eastAsia="仿宋_GB2312" w:hAnsi="ˎ̥" w:cs="Arial"/>
          <w:b/>
          <w:bCs/>
          <w:color w:val="093A96"/>
          <w:sz w:val="33"/>
          <w:szCs w:val="33"/>
          <w:lang w:eastAsia="zh-CN"/>
        </w:rPr>
      </w:pPr>
      <w:r>
        <w:rPr>
          <w:rFonts w:ascii="ˎ̥" w:hAnsi="ˎ̥" w:cs="Arial"/>
          <w:color w:val="000000"/>
          <w:sz w:val="21"/>
          <w:szCs w:val="21"/>
        </w:rPr>
        <w:t>国食药监许</w:t>
      </w:r>
      <w:r>
        <w:rPr>
          <w:rFonts w:ascii="ˎ̥" w:hAnsi="ˎ̥" w:cs="Arial"/>
          <w:color w:val="000000"/>
          <w:sz w:val="21"/>
          <w:szCs w:val="21"/>
        </w:rPr>
        <w:t>[2011]207</w:t>
      </w:r>
      <w:r>
        <w:rPr>
          <w:rFonts w:ascii="ˎ̥" w:hAnsi="ˎ̥" w:cs="Arial"/>
          <w:color w:val="000000"/>
          <w:sz w:val="21"/>
          <w:szCs w:val="21"/>
        </w:rPr>
        <w:t>号</w:t>
      </w:r>
    </w:p>
    <w:p w:rsidR="008F6F75" w:rsidRPr="008F6F75" w:rsidRDefault="008F6F75" w:rsidP="008F6F75">
      <w:pPr>
        <w:wordWrap w:val="0"/>
        <w:spacing w:before="100" w:beforeAutospacing="1" w:after="100" w:afterAutospacing="1" w:line="480" w:lineRule="auto"/>
        <w:rPr>
          <w:rFonts w:ascii="ˎ̥" w:hAnsi="ˎ̥" w:cs="Arial"/>
          <w:color w:val="000000"/>
          <w:sz w:val="21"/>
          <w:szCs w:val="21"/>
          <w:lang w:val="en-US" w:eastAsia="zh-CN"/>
        </w:rPr>
      </w:pPr>
      <w:r w:rsidRPr="008F6F75">
        <w:rPr>
          <w:rFonts w:ascii="ˎ̥" w:hAnsi="ˎ̥" w:cs="Arial"/>
          <w:color w:val="000000"/>
          <w:sz w:val="21"/>
          <w:szCs w:val="21"/>
          <w:lang w:val="en-US" w:eastAsia="zh-CN"/>
        </w:rPr>
        <w:t xml:space="preserve">　　</w:t>
      </w:r>
      <w:r w:rsidRPr="008F6F75">
        <w:rPr>
          <w:rFonts w:ascii="ˎ̥" w:hAnsi="ˎ̥" w:cs="Arial"/>
          <w:b/>
          <w:bCs/>
          <w:color w:val="000000"/>
          <w:sz w:val="21"/>
          <w:lang w:val="en-US" w:eastAsia="zh-CN"/>
        </w:rPr>
        <w:t>一、化妆品新原料的定义</w:t>
      </w:r>
      <w:r w:rsidRPr="008F6F75">
        <w:rPr>
          <w:rFonts w:ascii="ˎ̥" w:hAnsi="ˎ̥" w:cs="Arial"/>
          <w:b/>
          <w:bCs/>
          <w:color w:val="000000"/>
          <w:sz w:val="18"/>
          <w:szCs w:val="18"/>
          <w:lang w:val="en-US" w:eastAsia="zh-CN"/>
        </w:rPr>
        <w:br/>
      </w:r>
      <w:r w:rsidRPr="008F6F75">
        <w:rPr>
          <w:rFonts w:ascii="ˎ̥" w:hAnsi="ˎ̥" w:cs="Arial"/>
          <w:color w:val="000000"/>
          <w:sz w:val="21"/>
          <w:szCs w:val="21"/>
          <w:lang w:val="en-US" w:eastAsia="zh-CN"/>
        </w:rPr>
        <w:t xml:space="preserve">　　化妆品新原料是指在国内首次使用于化妆品生产的天然或人工原料。</w:t>
      </w:r>
    </w:p>
    <w:p w:rsidR="008F6F75" w:rsidRPr="008F6F75" w:rsidRDefault="008F6F75" w:rsidP="008F6F75">
      <w:pPr>
        <w:wordWrap w:val="0"/>
        <w:spacing w:before="100" w:beforeAutospacing="1" w:after="100" w:afterAutospacing="1" w:line="480" w:lineRule="auto"/>
        <w:rPr>
          <w:rFonts w:ascii="ˎ̥" w:hAnsi="ˎ̥" w:cs="Arial"/>
          <w:color w:val="000000"/>
          <w:sz w:val="21"/>
          <w:szCs w:val="21"/>
          <w:lang w:val="en-US" w:eastAsia="zh-CN"/>
        </w:rPr>
      </w:pPr>
      <w:r w:rsidRPr="008F6F75">
        <w:rPr>
          <w:rFonts w:ascii="ˎ̥" w:hAnsi="ˎ̥" w:cs="Arial"/>
          <w:color w:val="000000"/>
          <w:sz w:val="21"/>
          <w:szCs w:val="21"/>
          <w:lang w:val="en-US" w:eastAsia="zh-CN"/>
        </w:rPr>
        <w:t xml:space="preserve">　　</w:t>
      </w:r>
      <w:r w:rsidRPr="008F6F75">
        <w:rPr>
          <w:rFonts w:ascii="ˎ̥" w:hAnsi="ˎ̥" w:cs="Arial"/>
          <w:b/>
          <w:bCs/>
          <w:color w:val="000000"/>
          <w:sz w:val="21"/>
          <w:lang w:val="en-US" w:eastAsia="zh-CN"/>
        </w:rPr>
        <w:t>二、化妆品新原料安全性要求</w:t>
      </w:r>
      <w:r w:rsidRPr="008F6F75">
        <w:rPr>
          <w:rFonts w:ascii="ˎ̥" w:hAnsi="ˎ̥" w:cs="Arial"/>
          <w:b/>
          <w:bCs/>
          <w:color w:val="000000"/>
          <w:sz w:val="18"/>
          <w:szCs w:val="18"/>
          <w:lang w:val="en-US" w:eastAsia="zh-CN"/>
        </w:rPr>
        <w:br/>
      </w:r>
      <w:r w:rsidRPr="008F6F75">
        <w:rPr>
          <w:rFonts w:ascii="ˎ̥" w:hAnsi="ˎ̥" w:cs="Arial"/>
          <w:color w:val="000000"/>
          <w:sz w:val="21"/>
          <w:szCs w:val="21"/>
          <w:lang w:val="en-US" w:eastAsia="zh-CN"/>
        </w:rPr>
        <w:t xml:space="preserve">　　化妆品新原料在正常以及合理的、可预见的使用条件下，不得对人体健康产生危害。</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化妆品新原料毒理学评价资料应当包括毒理学安全性评价综述、必要的毒理学试验资料和可能存在安全性风险物质的有关安全性评估资料。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化妆品新原料一般需进行下列毒理学试验：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（一）</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急性经口和急性经皮毒性试验；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（二）</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皮肤和急性眼刺激性</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腐蚀性试验；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（三）</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皮肤变态反应试验；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（四）</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皮肤光毒性和光敏感性试验（原料具有紫外线吸收特性时需做该项试验）；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（五）</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致突变试验（至少应包括一项基因突变试验和一项染色体畸变试验）；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（六）</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亚慢性经口和经皮毒性试验；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（七）</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致</w:t>
      </w:r>
      <w:proofErr w:type="gramStart"/>
      <w:r w:rsidRPr="008F6F75">
        <w:rPr>
          <w:rFonts w:ascii="ˎ̥" w:hAnsi="ˎ̥" w:cs="Arial"/>
          <w:color w:val="000000"/>
          <w:sz w:val="21"/>
          <w:szCs w:val="21"/>
          <w:lang w:val="en-US" w:eastAsia="zh-CN"/>
        </w:rPr>
        <w:t>畸</w:t>
      </w:r>
      <w:proofErr w:type="gramEnd"/>
      <w:r w:rsidRPr="008F6F75">
        <w:rPr>
          <w:rFonts w:ascii="ˎ̥" w:hAnsi="ˎ̥" w:cs="Arial"/>
          <w:color w:val="000000"/>
          <w:sz w:val="21"/>
          <w:szCs w:val="21"/>
          <w:lang w:val="en-US" w:eastAsia="zh-CN"/>
        </w:rPr>
        <w:t>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（八）</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慢性毒性</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致癌性结合试验；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（九）</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毒物代谢及动力学试验；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（十）</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根据原料的特性和用途，还可考虑其他必要的试验。如果该新原料与已用于化妆品的原料化学结构及特性相似，则可考虑减少某些试验。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本指南规定毒理学试验资料为原则性要求，可以根据该原料理化特性、定量构效关系、</w:t>
      </w:r>
      <w:r w:rsidRPr="008F6F75">
        <w:rPr>
          <w:rFonts w:ascii="ˎ̥" w:hAnsi="ˎ̥" w:cs="Arial"/>
          <w:color w:val="000000"/>
          <w:sz w:val="21"/>
          <w:szCs w:val="21"/>
          <w:lang w:val="en-US" w:eastAsia="zh-CN"/>
        </w:rPr>
        <w:lastRenderedPageBreak/>
        <w:t>毒理学资料、临床研究、人群流行病学调查以及类似化合物的毒性等资料情况，增加或减免试验项目。</w:t>
      </w:r>
    </w:p>
    <w:p w:rsidR="008F6F75" w:rsidRPr="008F6F75" w:rsidRDefault="008F6F75" w:rsidP="008F6F75">
      <w:pPr>
        <w:wordWrap w:val="0"/>
        <w:spacing w:before="100" w:beforeAutospacing="1" w:after="100" w:afterAutospacing="1" w:line="480" w:lineRule="auto"/>
        <w:rPr>
          <w:rFonts w:ascii="ˎ̥" w:hAnsi="ˎ̥" w:cs="Arial"/>
          <w:color w:val="000000"/>
          <w:sz w:val="21"/>
          <w:szCs w:val="21"/>
          <w:lang w:val="en-US" w:eastAsia="zh-CN"/>
        </w:rPr>
      </w:pPr>
      <w:r w:rsidRPr="008F6F75">
        <w:rPr>
          <w:rFonts w:ascii="ˎ̥" w:hAnsi="ˎ̥" w:cs="Arial"/>
          <w:color w:val="000000"/>
          <w:sz w:val="21"/>
          <w:szCs w:val="21"/>
          <w:lang w:val="en-US" w:eastAsia="zh-CN"/>
        </w:rPr>
        <w:t xml:space="preserve">　　</w:t>
      </w:r>
      <w:r w:rsidRPr="008F6F75">
        <w:rPr>
          <w:rFonts w:ascii="ˎ̥" w:hAnsi="ˎ̥" w:cs="Arial"/>
          <w:b/>
          <w:bCs/>
          <w:color w:val="000000"/>
          <w:sz w:val="21"/>
          <w:lang w:val="en-US" w:eastAsia="zh-CN"/>
        </w:rPr>
        <w:t>三、化妆品新原料行政许可申报资料要求</w:t>
      </w:r>
      <w:r w:rsidRPr="008F6F75">
        <w:rPr>
          <w:rFonts w:ascii="ˎ̥" w:hAnsi="ˎ̥" w:cs="Arial"/>
          <w:b/>
          <w:bCs/>
          <w:color w:val="000000"/>
          <w:sz w:val="18"/>
          <w:szCs w:val="18"/>
          <w:lang w:val="en-US" w:eastAsia="zh-CN"/>
        </w:rPr>
        <w:br/>
      </w:r>
      <w:r w:rsidRPr="008F6F75">
        <w:rPr>
          <w:rFonts w:ascii="ˎ̥" w:hAnsi="ˎ̥" w:cs="Arial"/>
          <w:color w:val="000000"/>
          <w:sz w:val="21"/>
          <w:szCs w:val="21"/>
          <w:lang w:val="en-US" w:eastAsia="zh-CN"/>
        </w:rPr>
        <w:t xml:space="preserve">　　申请化妆品新原料行政许可应按化妆品行政许可申报受理规定提交资料。具体要求如下：</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（一）化妆品新原料行政许可申请表</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（二）研制报告</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 xml:space="preserve">1. </w:t>
      </w:r>
      <w:r w:rsidRPr="008F6F75">
        <w:rPr>
          <w:rFonts w:ascii="ˎ̥" w:hAnsi="ˎ̥" w:cs="Arial"/>
          <w:color w:val="000000"/>
          <w:sz w:val="21"/>
          <w:szCs w:val="21"/>
          <w:lang w:val="en-US" w:eastAsia="zh-CN"/>
        </w:rPr>
        <w:t>原料研发的背景、过程及相关的技术资料。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 xml:space="preserve">2. </w:t>
      </w:r>
      <w:r w:rsidRPr="008F6F75">
        <w:rPr>
          <w:rFonts w:ascii="ˎ̥" w:hAnsi="ˎ̥" w:cs="Arial"/>
          <w:color w:val="000000"/>
          <w:sz w:val="21"/>
          <w:szCs w:val="21"/>
          <w:lang w:val="en-US" w:eastAsia="zh-CN"/>
        </w:rPr>
        <w:t>原料的名称、来源、相对分子质量、分子式、化学结构、理化性质。</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1</w:t>
      </w:r>
      <w:r w:rsidRPr="008F6F75">
        <w:rPr>
          <w:rFonts w:ascii="ˎ̥" w:hAnsi="ˎ̥" w:cs="Arial"/>
          <w:color w:val="000000"/>
          <w:sz w:val="21"/>
          <w:szCs w:val="21"/>
          <w:lang w:val="en-US" w:eastAsia="zh-CN"/>
        </w:rPr>
        <w:t>）名称：包括原料的化学名（</w:t>
      </w:r>
      <w:r w:rsidRPr="008F6F75">
        <w:rPr>
          <w:rFonts w:ascii="ˎ̥" w:hAnsi="ˎ̥" w:cs="Arial"/>
          <w:color w:val="000000"/>
          <w:sz w:val="21"/>
          <w:szCs w:val="21"/>
          <w:lang w:val="en-US" w:eastAsia="zh-CN"/>
        </w:rPr>
        <w:t>IUPAC</w:t>
      </w:r>
      <w:r w:rsidRPr="008F6F75">
        <w:rPr>
          <w:rFonts w:ascii="ˎ̥" w:hAnsi="ˎ̥" w:cs="Arial"/>
          <w:color w:val="000000"/>
          <w:sz w:val="21"/>
          <w:szCs w:val="21"/>
          <w:lang w:val="en-US" w:eastAsia="zh-CN"/>
        </w:rPr>
        <w:t>名和</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或</w:t>
      </w:r>
      <w:r w:rsidRPr="008F6F75">
        <w:rPr>
          <w:rFonts w:ascii="ˎ̥" w:hAnsi="ˎ̥" w:cs="Arial"/>
          <w:color w:val="000000"/>
          <w:sz w:val="21"/>
          <w:szCs w:val="21"/>
          <w:lang w:val="en-US" w:eastAsia="zh-CN"/>
        </w:rPr>
        <w:t>CAS</w:t>
      </w:r>
      <w:r w:rsidRPr="008F6F75">
        <w:rPr>
          <w:rFonts w:ascii="ˎ̥" w:hAnsi="ˎ̥" w:cs="Arial"/>
          <w:color w:val="000000"/>
          <w:sz w:val="21"/>
          <w:szCs w:val="21"/>
          <w:lang w:val="en-US" w:eastAsia="zh-CN"/>
        </w:rPr>
        <w:t>名）、</w:t>
      </w:r>
      <w:r w:rsidRPr="008F6F75">
        <w:rPr>
          <w:rFonts w:ascii="ˎ̥" w:hAnsi="ˎ̥" w:cs="Arial"/>
          <w:color w:val="000000"/>
          <w:sz w:val="21"/>
          <w:szCs w:val="21"/>
          <w:lang w:val="en-US" w:eastAsia="zh-CN"/>
        </w:rPr>
        <w:t>INCI</w:t>
      </w:r>
      <w:r w:rsidRPr="008F6F75">
        <w:rPr>
          <w:rFonts w:ascii="ˎ̥" w:hAnsi="ˎ̥" w:cs="Arial"/>
          <w:color w:val="000000"/>
          <w:sz w:val="21"/>
          <w:szCs w:val="21"/>
          <w:lang w:val="en-US" w:eastAsia="zh-CN"/>
        </w:rPr>
        <w:t>名及其中文译名、商品名和</w:t>
      </w:r>
      <w:r w:rsidRPr="008F6F75">
        <w:rPr>
          <w:rFonts w:ascii="ˎ̥" w:hAnsi="ˎ̥" w:cs="Arial"/>
          <w:color w:val="000000"/>
          <w:sz w:val="21"/>
          <w:szCs w:val="21"/>
          <w:lang w:val="en-US" w:eastAsia="zh-CN"/>
        </w:rPr>
        <w:t>CAS</w:t>
      </w:r>
      <w:r w:rsidRPr="008F6F75">
        <w:rPr>
          <w:rFonts w:ascii="ˎ̥" w:hAnsi="ˎ̥" w:cs="Arial"/>
          <w:color w:val="000000"/>
          <w:sz w:val="21"/>
          <w:szCs w:val="21"/>
          <w:lang w:val="en-US" w:eastAsia="zh-CN"/>
        </w:rPr>
        <w:t>号等。原料名称中应同时注明该原料的使用规格。</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天然原料还应提供拉丁学名。</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2</w:t>
      </w:r>
      <w:r w:rsidRPr="008F6F75">
        <w:rPr>
          <w:rFonts w:ascii="ˎ̥" w:hAnsi="ˎ̥" w:cs="Arial"/>
          <w:color w:val="000000"/>
          <w:sz w:val="21"/>
          <w:szCs w:val="21"/>
          <w:lang w:val="en-US" w:eastAsia="zh-CN"/>
        </w:rPr>
        <w:t>）来源：原料不应是复配而成，在原料中由于技术原因不可避免存在的溶剂、稳定剂、载体等除外。</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天然原料应为单一来源，并提供使用部位等。全植物已经被允许用作化妆品原料的，该植物各部位不需要再按新原料申报。</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3</w:t>
      </w:r>
      <w:r w:rsidRPr="008F6F75">
        <w:rPr>
          <w:rFonts w:ascii="ˎ̥" w:hAnsi="ˎ̥" w:cs="Arial"/>
          <w:color w:val="000000"/>
          <w:sz w:val="21"/>
          <w:szCs w:val="21"/>
          <w:lang w:val="en-US" w:eastAsia="zh-CN"/>
        </w:rPr>
        <w:t>）相对分子质量、分子式、化学结构：应提供化学结构的确认依据（如核磁共振谱图、元素分析、质谱、红外谱图等）及其解析结果，聚合物还应提供相对平均分子质量及其分布。</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4</w:t>
      </w:r>
      <w:r w:rsidRPr="008F6F75">
        <w:rPr>
          <w:rFonts w:ascii="ˎ̥" w:hAnsi="ˎ̥" w:cs="Arial"/>
          <w:color w:val="000000"/>
          <w:sz w:val="21"/>
          <w:szCs w:val="21"/>
          <w:lang w:val="en-US" w:eastAsia="zh-CN"/>
        </w:rPr>
        <w:t>）理化性质：包括颜色、气味、状态、溶解度、熔点、沸点、比重、蒸汽压、</w:t>
      </w:r>
      <w:r w:rsidRPr="008F6F75">
        <w:rPr>
          <w:rFonts w:ascii="ˎ̥" w:hAnsi="ˎ̥" w:cs="Arial"/>
          <w:color w:val="000000"/>
          <w:sz w:val="21"/>
          <w:szCs w:val="21"/>
          <w:lang w:val="en-US" w:eastAsia="zh-CN"/>
        </w:rPr>
        <w:t>pH</w:t>
      </w:r>
      <w:r w:rsidRPr="008F6F75">
        <w:rPr>
          <w:rFonts w:ascii="ˎ̥" w:hAnsi="ˎ̥" w:cs="Arial"/>
          <w:color w:val="000000"/>
          <w:sz w:val="21"/>
          <w:szCs w:val="21"/>
          <w:lang w:val="en-US" w:eastAsia="zh-CN"/>
        </w:rPr>
        <w:t>值、</w:t>
      </w:r>
      <w:proofErr w:type="spellStart"/>
      <w:r w:rsidRPr="008F6F75">
        <w:rPr>
          <w:rFonts w:ascii="ˎ̥" w:hAnsi="ˎ̥" w:cs="Arial"/>
          <w:color w:val="000000"/>
          <w:sz w:val="21"/>
          <w:szCs w:val="21"/>
          <w:lang w:val="en-US" w:eastAsia="zh-CN"/>
        </w:rPr>
        <w:t>pKa</w:t>
      </w:r>
      <w:proofErr w:type="spellEnd"/>
      <w:r w:rsidRPr="008F6F75">
        <w:rPr>
          <w:rFonts w:ascii="ˎ̥" w:hAnsi="ˎ̥" w:cs="Arial"/>
          <w:color w:val="000000"/>
          <w:sz w:val="21"/>
          <w:szCs w:val="21"/>
          <w:lang w:val="en-US" w:eastAsia="zh-CN"/>
        </w:rPr>
        <w:t>值、折光率、旋光度等。</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 xml:space="preserve">3. </w:t>
      </w:r>
      <w:r w:rsidRPr="008F6F75">
        <w:rPr>
          <w:rFonts w:ascii="ˎ̥" w:hAnsi="ˎ̥" w:cs="Arial"/>
          <w:color w:val="000000"/>
          <w:sz w:val="21"/>
          <w:szCs w:val="21"/>
          <w:lang w:val="en-US" w:eastAsia="zh-CN"/>
        </w:rPr>
        <w:t>原料在化妆品中的使用目的、使用范围、基于安全的使用限量和依据、注意事项、警示语等。</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lastRenderedPageBreak/>
        <w:t xml:space="preserve">　　</w:t>
      </w:r>
      <w:r w:rsidRPr="008F6F75">
        <w:rPr>
          <w:rFonts w:ascii="ˎ̥" w:hAnsi="ˎ̥" w:cs="Arial"/>
          <w:color w:val="000000"/>
          <w:sz w:val="21"/>
          <w:szCs w:val="21"/>
          <w:lang w:val="en-US" w:eastAsia="zh-CN"/>
        </w:rPr>
        <w:t>4.</w:t>
      </w:r>
      <w:r w:rsidRPr="008F6F75">
        <w:rPr>
          <w:rFonts w:ascii="ˎ̥" w:hAnsi="ˎ̥" w:cs="Arial"/>
          <w:color w:val="000000"/>
          <w:sz w:val="21"/>
          <w:szCs w:val="21"/>
          <w:lang w:val="en-US" w:eastAsia="zh-CN"/>
        </w:rPr>
        <w:t>原料在国外（地区）是否使用于化妆品的情况说明等。</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（三）生产工艺简述及简图</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应说明化妆品新原料生产过程中涉及的主要步骤、流程及参数，如应列出原料、反应条件（温度、压力等）、助剂（催化剂、稳定剂等）、中间产物及副产物和制备步骤等；若为天然提取物，应说明加工、提取方法、提取条件、使用溶剂、可能残留的杂质或溶剂等。</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（四）原料质量安全控制要求</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应包括规格、检测方法、可能存在的安全性风险物质及其控制措施等内容。</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 xml:space="preserve">1. </w:t>
      </w:r>
      <w:r w:rsidRPr="008F6F75">
        <w:rPr>
          <w:rFonts w:ascii="ˎ̥" w:hAnsi="ˎ̥" w:cs="Arial"/>
          <w:color w:val="000000"/>
          <w:sz w:val="21"/>
          <w:szCs w:val="21"/>
          <w:lang w:val="en-US" w:eastAsia="zh-CN"/>
        </w:rPr>
        <w:t>规格：包括纯度或含量、杂质种类及其各自含量（聚合物应说明残留单体及其含量）等质量安全控制指标，由于技术原因在原料中不可避免存在的溶剂、稳定剂、载体等的种类及其各自含量，其他理化参数，保质期及贮存条件等；若为天然植物提取物，应明确其质量安全控制指标。</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 xml:space="preserve">2. </w:t>
      </w:r>
      <w:r w:rsidRPr="008F6F75">
        <w:rPr>
          <w:rFonts w:ascii="ˎ̥" w:hAnsi="ˎ̥" w:cs="Arial"/>
          <w:color w:val="000000"/>
          <w:sz w:val="21"/>
          <w:szCs w:val="21"/>
          <w:lang w:val="en-US" w:eastAsia="zh-CN"/>
        </w:rPr>
        <w:t>检测方法：原料的定性和定量检测方法、杂质的检测方法等。</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 xml:space="preserve">3. </w:t>
      </w:r>
      <w:r w:rsidRPr="008F6F75">
        <w:rPr>
          <w:rFonts w:ascii="ˎ̥" w:hAnsi="ˎ̥" w:cs="Arial"/>
          <w:color w:val="000000"/>
          <w:sz w:val="21"/>
          <w:szCs w:val="21"/>
          <w:lang w:val="en-US" w:eastAsia="zh-CN"/>
        </w:rPr>
        <w:t>可能存在的安全性风险物质及其控制措施。</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（五）毒理学安全性评价资料（包括原料中可能存在安全性风险物质的有关安全性评估资料）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毒理学试验资料可以是申请人的试验资料、科学文献资料和国内外政府官方网站、国际组织网站发布的内容。</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 xml:space="preserve">1. </w:t>
      </w:r>
      <w:r w:rsidRPr="008F6F75">
        <w:rPr>
          <w:rFonts w:ascii="ˎ̥" w:hAnsi="ˎ̥" w:cs="Arial"/>
          <w:color w:val="000000"/>
          <w:sz w:val="21"/>
          <w:szCs w:val="21"/>
          <w:lang w:val="en-US" w:eastAsia="zh-CN"/>
        </w:rPr>
        <w:t>申请化妆品新原料，一般应按化妆品新原料安全性要求提交毒理学试验资料。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 xml:space="preserve">2. </w:t>
      </w:r>
      <w:r w:rsidRPr="008F6F75">
        <w:rPr>
          <w:rFonts w:ascii="ˎ̥" w:hAnsi="ˎ̥" w:cs="Arial"/>
          <w:color w:val="000000"/>
          <w:sz w:val="21"/>
          <w:szCs w:val="21"/>
          <w:lang w:val="en-US" w:eastAsia="zh-CN"/>
        </w:rPr>
        <w:t>具有下列情形之一者，可按以下规定提交毒理学试验资料。根据原料的特性和用途，必要时，可要求增加或减免相关试验资料。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1</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凡不具有防腐剂、防晒剂、着色剂和染发</w:t>
      </w:r>
      <w:proofErr w:type="gramStart"/>
      <w:r w:rsidRPr="008F6F75">
        <w:rPr>
          <w:rFonts w:ascii="ˎ̥" w:hAnsi="ˎ̥" w:cs="Arial"/>
          <w:color w:val="000000"/>
          <w:sz w:val="21"/>
          <w:szCs w:val="21"/>
          <w:lang w:val="en-US" w:eastAsia="zh-CN"/>
        </w:rPr>
        <w:t>剂功能</w:t>
      </w:r>
      <w:proofErr w:type="gramEnd"/>
      <w:r w:rsidRPr="008F6F75">
        <w:rPr>
          <w:rFonts w:ascii="ˎ̥" w:hAnsi="ˎ̥" w:cs="Arial"/>
          <w:color w:val="000000"/>
          <w:sz w:val="21"/>
          <w:szCs w:val="21"/>
          <w:lang w:val="en-US" w:eastAsia="zh-CN"/>
        </w:rPr>
        <w:t>的原料以及从安全角度考虑不需要列入《化妆品卫生规范》限用物质表中的化妆品新原料，应提交以下资料：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lastRenderedPageBreak/>
        <w:t xml:space="preserve">　　</w:t>
      </w:r>
      <w:r w:rsidRPr="008F6F75">
        <w:rPr>
          <w:rFonts w:ascii="ˎ̥" w:hAnsi="ˎ̥" w:cs="Arial"/>
          <w:color w:val="000000"/>
          <w:sz w:val="21"/>
          <w:szCs w:val="21"/>
          <w:lang w:val="en-US" w:eastAsia="zh-CN"/>
        </w:rPr>
        <w:t>1</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急性经口和急性经皮毒性试验；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2</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皮肤和急性眼刺激性</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腐蚀性试验；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3</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皮肤变态反应试验；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4</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皮肤光毒性和光敏感试验（原料具有紫外线吸收特性时需做该两项试验）；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5</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致突变试验（至少应包括一项基因突变试验和一项染色体畸变试验）；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6</w:t>
      </w:r>
      <w:r w:rsidRPr="008F6F75">
        <w:rPr>
          <w:rFonts w:ascii="ˎ̥" w:hAnsi="ˎ̥" w:cs="Arial"/>
          <w:color w:val="000000"/>
          <w:sz w:val="21"/>
          <w:szCs w:val="21"/>
          <w:lang w:val="en-US" w:eastAsia="zh-CN"/>
        </w:rPr>
        <w:t>）亚慢性经口或经皮毒性试验。如果该原料在化妆品中使用，经口摄入可能性大时，应提供亚慢性经口毒性试验。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2</w:t>
      </w:r>
      <w:r w:rsidRPr="008F6F75">
        <w:rPr>
          <w:rFonts w:ascii="ˎ̥" w:hAnsi="ˎ̥" w:cs="Arial"/>
          <w:color w:val="000000"/>
          <w:sz w:val="21"/>
          <w:szCs w:val="21"/>
          <w:lang w:val="en-US" w:eastAsia="zh-CN"/>
        </w:rPr>
        <w:t>）符合情形（</w:t>
      </w:r>
      <w:r w:rsidRPr="008F6F75">
        <w:rPr>
          <w:rFonts w:ascii="ˎ̥" w:hAnsi="ˎ̥" w:cs="Arial"/>
          <w:color w:val="000000"/>
          <w:sz w:val="21"/>
          <w:szCs w:val="21"/>
          <w:lang w:val="en-US" w:eastAsia="zh-CN"/>
        </w:rPr>
        <w:t>1</w:t>
      </w:r>
      <w:r w:rsidRPr="008F6F75">
        <w:rPr>
          <w:rFonts w:ascii="ˎ̥" w:hAnsi="ˎ̥" w:cs="Arial"/>
          <w:color w:val="000000"/>
          <w:sz w:val="21"/>
          <w:szCs w:val="21"/>
          <w:lang w:val="en-US" w:eastAsia="zh-CN"/>
        </w:rPr>
        <w:t>），且被国外（地区）权威机构有关化妆品原料目录收载四年以上的，未见涉及可能对人体健康产生危害相关文献的，应提交以下资料：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1</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急性经口和急性经皮毒性试验；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2</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皮肤和急性眼刺激性</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腐蚀性试验；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3</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皮肤变态反应试验；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4</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皮肤光毒性和光敏感试验（原料具有紫外线吸收特性时需做该两项试验）；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5</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致突变试验（至少应包括一项基因突变试验和一项染色体畸变试验）。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3</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凡有安全食用历史的，如国内外政府官方机构或权威机构发布的或经安全性评估认为安全的食品原料及其提取物、国务院有关行政部门公布的既是食品又是药品的物品等，应提交以下资料：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1</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皮肤和急性眼刺激性</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腐蚀性试验；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2</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皮肤变态反应试验；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3</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皮肤光毒性和光敏感试验（原料具有紫外线吸收特性时需做该项试验）。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4</w:t>
      </w:r>
      <w:r w:rsidRPr="008F6F75">
        <w:rPr>
          <w:rFonts w:ascii="ˎ̥" w:hAnsi="ˎ̥" w:cs="Arial"/>
          <w:color w:val="000000"/>
          <w:sz w:val="21"/>
          <w:szCs w:val="21"/>
          <w:lang w:val="en-US" w:eastAsia="zh-CN"/>
        </w:rPr>
        <w:t>）由一种或一种以上结构单元，通过共价键连接，相对平均分子质量大于</w:t>
      </w:r>
      <w:r w:rsidRPr="008F6F75">
        <w:rPr>
          <w:rFonts w:ascii="ˎ̥" w:hAnsi="ˎ̥" w:cs="Arial"/>
          <w:color w:val="000000"/>
          <w:sz w:val="21"/>
          <w:szCs w:val="21"/>
          <w:lang w:val="en-US" w:eastAsia="zh-CN"/>
        </w:rPr>
        <w:t>1000</w:t>
      </w:r>
      <w:r w:rsidRPr="008F6F75">
        <w:rPr>
          <w:rFonts w:ascii="ˎ̥" w:hAnsi="ˎ̥" w:cs="Arial"/>
          <w:color w:val="000000"/>
          <w:sz w:val="21"/>
          <w:szCs w:val="21"/>
          <w:lang w:val="en-US" w:eastAsia="zh-CN"/>
        </w:rPr>
        <w:t>道尔顿的聚合物作为化妆品新原料，应提交以下资料：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lastRenderedPageBreak/>
        <w:t xml:space="preserve">　　</w:t>
      </w:r>
      <w:r w:rsidRPr="008F6F75">
        <w:rPr>
          <w:rFonts w:ascii="ˎ̥" w:hAnsi="ˎ̥" w:cs="Arial"/>
          <w:color w:val="000000"/>
          <w:sz w:val="21"/>
          <w:szCs w:val="21"/>
          <w:lang w:val="en-US" w:eastAsia="zh-CN"/>
        </w:rPr>
        <w:t>1</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皮肤和急性眼刺激性</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腐蚀性试验；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2</w:t>
      </w:r>
      <w:r w:rsidRPr="008F6F75">
        <w:rPr>
          <w:rFonts w:ascii="ˎ̥" w:hAnsi="ˎ̥" w:cs="Arial"/>
          <w:color w:val="000000"/>
          <w:sz w:val="21"/>
          <w:szCs w:val="21"/>
          <w:lang w:val="en-US" w:eastAsia="zh-CN"/>
        </w:rPr>
        <w:t>）</w:t>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皮肤光毒性试验（原料具有紫外线吸收特性时需做该项试验）。</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5</w:t>
      </w:r>
      <w:r w:rsidRPr="008F6F75">
        <w:rPr>
          <w:rFonts w:ascii="ˎ̥" w:hAnsi="ˎ̥" w:cs="Arial"/>
          <w:color w:val="000000"/>
          <w:sz w:val="21"/>
          <w:szCs w:val="21"/>
          <w:lang w:val="en-US" w:eastAsia="zh-CN"/>
        </w:rPr>
        <w:t>）凡已有国外（地区）权威机构评价结论认为在化妆品中使用是安全的新原料，申报时不需提供毒理学试验资料，但应提交国外（地区）评估的结论、评价报告及相关资料。国外（地区）批准的化妆品新原料，还应提交批准证明。</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（六）进口化妆品新原料申请人，应提交已经备案的行政许可在华申报责任单位授权书复印件及行政许可在华申报责任单位营业执照复印件并加盖公章。</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（七）可能有助于行政许可的其他资料。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申请人应根据新原料特性按上述要求提交资料，相关要求不适用的除外。</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另附送审样品</w:t>
      </w:r>
      <w:r w:rsidRPr="008F6F75">
        <w:rPr>
          <w:rFonts w:ascii="ˎ̥" w:hAnsi="ˎ̥" w:cs="Arial"/>
          <w:color w:val="000000"/>
          <w:sz w:val="21"/>
          <w:szCs w:val="21"/>
          <w:lang w:val="en-US" w:eastAsia="zh-CN"/>
        </w:rPr>
        <w:t>1</w:t>
      </w:r>
      <w:r w:rsidRPr="008F6F75">
        <w:rPr>
          <w:rFonts w:ascii="ˎ̥" w:hAnsi="ˎ̥" w:cs="Arial"/>
          <w:color w:val="000000"/>
          <w:sz w:val="21"/>
          <w:szCs w:val="21"/>
          <w:lang w:val="en-US" w:eastAsia="zh-CN"/>
        </w:rPr>
        <w:t>件。</w:t>
      </w:r>
    </w:p>
    <w:p w:rsidR="008F6F75" w:rsidRPr="008F6F75" w:rsidRDefault="008F6F75" w:rsidP="008F6F75">
      <w:pPr>
        <w:wordWrap w:val="0"/>
        <w:spacing w:before="100" w:beforeAutospacing="1" w:after="100" w:afterAutospacing="1" w:line="480" w:lineRule="auto"/>
        <w:rPr>
          <w:rFonts w:ascii="ˎ̥" w:hAnsi="ˎ̥" w:cs="Arial"/>
          <w:color w:val="000000"/>
          <w:sz w:val="21"/>
          <w:szCs w:val="21"/>
          <w:lang w:val="en-US" w:eastAsia="zh-CN"/>
        </w:rPr>
      </w:pPr>
      <w:r w:rsidRPr="008F6F75">
        <w:rPr>
          <w:rFonts w:ascii="ˎ̥" w:hAnsi="ˎ̥" w:cs="Arial"/>
          <w:color w:val="000000"/>
          <w:sz w:val="21"/>
          <w:szCs w:val="21"/>
          <w:lang w:val="en-US" w:eastAsia="zh-CN"/>
        </w:rPr>
        <w:t xml:space="preserve">　　</w:t>
      </w:r>
      <w:r w:rsidRPr="008F6F75">
        <w:rPr>
          <w:rFonts w:ascii="ˎ̥" w:hAnsi="ˎ̥" w:cs="Arial"/>
          <w:b/>
          <w:bCs/>
          <w:color w:val="000000"/>
          <w:sz w:val="21"/>
          <w:lang w:val="en-US" w:eastAsia="zh-CN"/>
        </w:rPr>
        <w:t>四、化妆品新原料的审评原则</w:t>
      </w:r>
      <w:r w:rsidRPr="008F6F75">
        <w:rPr>
          <w:rFonts w:ascii="ˎ̥" w:hAnsi="ˎ̥" w:cs="Arial"/>
          <w:b/>
          <w:bCs/>
          <w:color w:val="000000"/>
          <w:sz w:val="18"/>
          <w:szCs w:val="18"/>
          <w:lang w:val="en-US" w:eastAsia="zh-CN"/>
        </w:rPr>
        <w:br/>
      </w:r>
      <w:r w:rsidRPr="008F6F75">
        <w:rPr>
          <w:rFonts w:ascii="ˎ̥" w:hAnsi="ˎ̥" w:cs="Arial"/>
          <w:color w:val="000000"/>
          <w:sz w:val="21"/>
          <w:szCs w:val="21"/>
          <w:lang w:val="en-US" w:eastAsia="zh-CN"/>
        </w:rPr>
        <w:t xml:space="preserve">　　（一）对于申请人提交的化妆品新原料安全性评价资料的完整性、合理性和科学性进行审评：</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1.</w:t>
      </w:r>
      <w:r w:rsidRPr="008F6F75">
        <w:rPr>
          <w:rFonts w:ascii="ˎ̥" w:hAnsi="ˎ̥" w:cs="Arial"/>
          <w:color w:val="000000"/>
          <w:sz w:val="21"/>
          <w:szCs w:val="21"/>
          <w:lang w:val="en-US" w:eastAsia="zh-CN"/>
        </w:rPr>
        <w:t>安全性评价资料内容是否完整并符合有关资料要求；</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2.</w:t>
      </w:r>
      <w:r w:rsidRPr="008F6F75">
        <w:rPr>
          <w:rFonts w:ascii="ˎ̥" w:hAnsi="ˎ̥" w:cs="Arial"/>
          <w:color w:val="000000"/>
          <w:sz w:val="21"/>
          <w:szCs w:val="21"/>
          <w:lang w:val="en-US" w:eastAsia="zh-CN"/>
        </w:rPr>
        <w:t>依据是否科学，关键数据是否合理，分析是否符合逻辑，结论是否正确；</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w:t>
      </w:r>
      <w:r w:rsidRPr="008F6F75">
        <w:rPr>
          <w:rFonts w:ascii="ˎ̥" w:hAnsi="ˎ̥" w:cs="Arial"/>
          <w:color w:val="000000"/>
          <w:sz w:val="21"/>
          <w:szCs w:val="21"/>
          <w:lang w:val="en-US" w:eastAsia="zh-CN"/>
        </w:rPr>
        <w:t>3.</w:t>
      </w:r>
      <w:r w:rsidRPr="008F6F75">
        <w:rPr>
          <w:rFonts w:ascii="ˎ̥" w:hAnsi="ˎ̥" w:cs="Arial"/>
          <w:color w:val="000000"/>
          <w:sz w:val="21"/>
          <w:szCs w:val="21"/>
          <w:lang w:val="en-US" w:eastAsia="zh-CN"/>
        </w:rPr>
        <w:t>重点审核化妆品新原料的来源、理化性质、使用目的、范围、使用限量及依据、生产工艺、质量安全控制要求和必要的毒理学评价资料等。</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（二）经审评认为化妆品新原料安全性评价资料存在问题的，审评专家应根据化妆品监管相关规定和科学依据，提出具体意见。申请人应当在规定的时限内提供相应的安全性评价资料。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（三）随着科学研究的发展，国家食品药品监督管理局可对已经批准的化妆品新原料进行再评价。</w:t>
      </w:r>
    </w:p>
    <w:p w:rsidR="008F6F75" w:rsidRPr="008F6F75" w:rsidRDefault="008F6F75" w:rsidP="008F6F75">
      <w:pPr>
        <w:wordWrap w:val="0"/>
        <w:spacing w:before="100" w:beforeAutospacing="1" w:after="100" w:afterAutospacing="1" w:line="480" w:lineRule="auto"/>
        <w:rPr>
          <w:rFonts w:ascii="ˎ̥" w:hAnsi="ˎ̥" w:cs="Arial"/>
          <w:color w:val="000000"/>
          <w:sz w:val="21"/>
          <w:szCs w:val="21"/>
          <w:lang w:val="en-US" w:eastAsia="zh-CN"/>
        </w:rPr>
      </w:pPr>
      <w:r w:rsidRPr="008F6F75">
        <w:rPr>
          <w:rFonts w:ascii="ˎ̥" w:hAnsi="ˎ̥" w:cs="Arial"/>
          <w:color w:val="000000"/>
          <w:sz w:val="21"/>
          <w:szCs w:val="21"/>
          <w:lang w:val="en-US" w:eastAsia="zh-CN"/>
        </w:rPr>
        <w:lastRenderedPageBreak/>
        <w:t xml:space="preserve">　　</w:t>
      </w:r>
      <w:r w:rsidRPr="008F6F75">
        <w:rPr>
          <w:rFonts w:ascii="ˎ̥" w:hAnsi="ˎ̥" w:cs="Arial"/>
          <w:b/>
          <w:bCs/>
          <w:color w:val="000000"/>
          <w:sz w:val="21"/>
          <w:lang w:val="en-US" w:eastAsia="zh-CN"/>
        </w:rPr>
        <w:t>五、特殊类型的化妆品新原料申报与审评要求另行制定。</w:t>
      </w:r>
    </w:p>
    <w:p w:rsidR="008F6F75" w:rsidRPr="008F6F75" w:rsidRDefault="008F6F75" w:rsidP="008F6F75">
      <w:pPr>
        <w:wordWrap w:val="0"/>
        <w:spacing w:before="100" w:beforeAutospacing="1" w:after="100" w:afterAutospacing="1" w:line="480" w:lineRule="auto"/>
        <w:rPr>
          <w:rFonts w:ascii="ˎ̥" w:hAnsi="ˎ̥" w:cs="Arial"/>
          <w:color w:val="000000"/>
          <w:sz w:val="21"/>
          <w:szCs w:val="21"/>
          <w:lang w:val="en-US" w:eastAsia="zh-CN"/>
        </w:rPr>
      </w:pPr>
      <w:r w:rsidRPr="008F6F75">
        <w:rPr>
          <w:rFonts w:ascii="ˎ̥" w:hAnsi="ˎ̥" w:cs="Arial"/>
          <w:color w:val="000000"/>
          <w:sz w:val="21"/>
          <w:szCs w:val="21"/>
          <w:lang w:val="en-US" w:eastAsia="zh-CN"/>
        </w:rPr>
        <w:t xml:space="preserve">　　</w:t>
      </w:r>
      <w:r w:rsidRPr="008F6F75">
        <w:rPr>
          <w:rFonts w:ascii="ˎ̥" w:hAnsi="ˎ̥" w:cs="Arial"/>
          <w:b/>
          <w:bCs/>
          <w:color w:val="000000"/>
          <w:sz w:val="21"/>
          <w:lang w:val="en-US" w:eastAsia="zh-CN"/>
        </w:rPr>
        <w:t>六、缩略语</w:t>
      </w:r>
      <w:r w:rsidRPr="008F6F75">
        <w:rPr>
          <w:rFonts w:ascii="ˎ̥" w:hAnsi="ˎ̥" w:cs="Arial"/>
          <w:b/>
          <w:bCs/>
          <w:color w:val="000000"/>
          <w:sz w:val="18"/>
          <w:szCs w:val="18"/>
          <w:lang w:val="en-US" w:eastAsia="zh-CN"/>
        </w:rPr>
        <w:br/>
      </w:r>
      <w:r w:rsidRPr="008F6F75">
        <w:rPr>
          <w:rFonts w:ascii="ˎ̥" w:hAnsi="ˎ̥" w:cs="Arial"/>
          <w:color w:val="000000"/>
          <w:sz w:val="21"/>
          <w:szCs w:val="21"/>
          <w:lang w:val="en-US" w:eastAsia="zh-CN"/>
        </w:rPr>
        <w:t xml:space="preserve">　　（一）</w:t>
      </w:r>
      <w:r w:rsidRPr="008F6F75">
        <w:rPr>
          <w:rFonts w:ascii="ˎ̥" w:hAnsi="ˎ̥" w:cs="Arial"/>
          <w:color w:val="000000"/>
          <w:sz w:val="21"/>
          <w:szCs w:val="21"/>
          <w:lang w:val="en-US" w:eastAsia="zh-CN"/>
        </w:rPr>
        <w:t xml:space="preserve">IUPAC </w:t>
      </w:r>
      <w:r w:rsidRPr="008F6F75">
        <w:rPr>
          <w:rFonts w:ascii="ˎ̥" w:hAnsi="ˎ̥" w:cs="Arial"/>
          <w:color w:val="000000"/>
          <w:sz w:val="21"/>
          <w:szCs w:val="21"/>
          <w:lang w:val="en-US" w:eastAsia="zh-CN"/>
        </w:rPr>
        <w:t>，国际纯粹与应用化学联合会（</w:t>
      </w:r>
      <w:r w:rsidRPr="008F6F75">
        <w:rPr>
          <w:rFonts w:ascii="ˎ̥" w:hAnsi="ˎ̥" w:cs="Arial"/>
          <w:color w:val="000000"/>
          <w:sz w:val="21"/>
          <w:szCs w:val="21"/>
          <w:lang w:val="en-US" w:eastAsia="zh-CN"/>
        </w:rPr>
        <w:t>International Union of Pure and Applied Chemistry</w:t>
      </w:r>
      <w:r w:rsidRPr="008F6F75">
        <w:rPr>
          <w:rFonts w:ascii="ˎ̥" w:hAnsi="ˎ̥" w:cs="Arial"/>
          <w:color w:val="000000"/>
          <w:sz w:val="21"/>
          <w:szCs w:val="21"/>
          <w:lang w:val="en-US" w:eastAsia="zh-CN"/>
        </w:rPr>
        <w:t>）的缩写。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（二）</w:t>
      </w:r>
      <w:r w:rsidRPr="008F6F75">
        <w:rPr>
          <w:rFonts w:ascii="ˎ̥" w:hAnsi="ˎ̥" w:cs="Arial"/>
          <w:color w:val="000000"/>
          <w:sz w:val="21"/>
          <w:szCs w:val="21"/>
          <w:lang w:val="en-US" w:eastAsia="zh-CN"/>
        </w:rPr>
        <w:t>CAS</w:t>
      </w:r>
      <w:r w:rsidRPr="008F6F75">
        <w:rPr>
          <w:rFonts w:ascii="ˎ̥" w:hAnsi="ˎ̥" w:cs="Arial"/>
          <w:color w:val="000000"/>
          <w:sz w:val="21"/>
          <w:szCs w:val="21"/>
          <w:lang w:val="en-US" w:eastAsia="zh-CN"/>
        </w:rPr>
        <w:t>，美国化学文摘服务社（</w:t>
      </w:r>
      <w:r w:rsidRPr="008F6F75">
        <w:rPr>
          <w:rFonts w:ascii="ˎ̥" w:hAnsi="ˎ̥" w:cs="Arial"/>
          <w:color w:val="000000"/>
          <w:sz w:val="21"/>
          <w:szCs w:val="21"/>
          <w:lang w:val="en-US" w:eastAsia="zh-CN"/>
        </w:rPr>
        <w:t>Chemical Abstracts Service</w:t>
      </w:r>
      <w:r w:rsidRPr="008F6F75">
        <w:rPr>
          <w:rFonts w:ascii="ˎ̥" w:hAnsi="ˎ̥" w:cs="Arial"/>
          <w:color w:val="000000"/>
          <w:sz w:val="21"/>
          <w:szCs w:val="21"/>
          <w:lang w:val="en-US" w:eastAsia="zh-CN"/>
        </w:rPr>
        <w:t>）的缩写。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（三）</w:t>
      </w:r>
      <w:r w:rsidRPr="008F6F75">
        <w:rPr>
          <w:rFonts w:ascii="ˎ̥" w:hAnsi="ˎ̥" w:cs="Arial"/>
          <w:color w:val="000000"/>
          <w:sz w:val="21"/>
          <w:szCs w:val="21"/>
          <w:lang w:val="en-US" w:eastAsia="zh-CN"/>
        </w:rPr>
        <w:t>INCI</w:t>
      </w:r>
      <w:r w:rsidRPr="008F6F75">
        <w:rPr>
          <w:rFonts w:ascii="ˎ̥" w:hAnsi="ˎ̥" w:cs="Arial"/>
          <w:color w:val="000000"/>
          <w:sz w:val="21"/>
          <w:szCs w:val="21"/>
          <w:lang w:val="en-US" w:eastAsia="zh-CN"/>
        </w:rPr>
        <w:t>，国际化妆品原料命名（</w:t>
      </w:r>
      <w:r w:rsidRPr="008F6F75">
        <w:rPr>
          <w:rFonts w:ascii="ˎ̥" w:hAnsi="ˎ̥" w:cs="Arial"/>
          <w:color w:val="000000"/>
          <w:sz w:val="21"/>
          <w:szCs w:val="21"/>
          <w:lang w:val="en-US" w:eastAsia="zh-CN"/>
        </w:rPr>
        <w:t>International Nomenclature Cosmetic Ingredient</w:t>
      </w:r>
      <w:r w:rsidRPr="008F6F75">
        <w:rPr>
          <w:rFonts w:ascii="ˎ̥" w:hAnsi="ˎ̥" w:cs="Arial"/>
          <w:color w:val="000000"/>
          <w:sz w:val="21"/>
          <w:szCs w:val="21"/>
          <w:lang w:val="en-US" w:eastAsia="zh-CN"/>
        </w:rPr>
        <w:t>）的缩写。</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本指南由国家食品药品监督管理局负责解释。</w:t>
      </w:r>
      <w:r w:rsidRPr="008F6F75">
        <w:rPr>
          <w:rFonts w:ascii="ˎ̥" w:hAnsi="ˎ̥" w:cs="Arial"/>
          <w:color w:val="000000"/>
          <w:sz w:val="18"/>
          <w:szCs w:val="18"/>
          <w:lang w:val="en-US" w:eastAsia="zh-CN"/>
        </w:rPr>
        <w:br/>
      </w:r>
      <w:r w:rsidRPr="008F6F75">
        <w:rPr>
          <w:rFonts w:ascii="ˎ̥" w:hAnsi="ˎ̥" w:cs="Arial"/>
          <w:color w:val="000000"/>
          <w:sz w:val="21"/>
          <w:szCs w:val="21"/>
          <w:lang w:val="en-US" w:eastAsia="zh-CN"/>
        </w:rPr>
        <w:t xml:space="preserve">　　本指南自</w:t>
      </w:r>
      <w:r w:rsidRPr="008F6F75">
        <w:rPr>
          <w:rFonts w:ascii="ˎ̥" w:hAnsi="ˎ̥" w:cs="Arial"/>
          <w:color w:val="000000"/>
          <w:sz w:val="21"/>
          <w:szCs w:val="21"/>
          <w:lang w:val="en-US" w:eastAsia="zh-CN"/>
        </w:rPr>
        <w:t>2011</w:t>
      </w:r>
      <w:r w:rsidRPr="008F6F75">
        <w:rPr>
          <w:rFonts w:ascii="ˎ̥" w:hAnsi="ˎ̥" w:cs="Arial"/>
          <w:color w:val="000000"/>
          <w:sz w:val="21"/>
          <w:szCs w:val="21"/>
          <w:lang w:val="en-US" w:eastAsia="zh-CN"/>
        </w:rPr>
        <w:t>年</w:t>
      </w:r>
      <w:r w:rsidRPr="008F6F75">
        <w:rPr>
          <w:rFonts w:ascii="ˎ̥" w:hAnsi="ˎ̥" w:cs="Arial"/>
          <w:color w:val="000000"/>
          <w:sz w:val="21"/>
          <w:szCs w:val="21"/>
          <w:lang w:val="en-US" w:eastAsia="zh-CN"/>
        </w:rPr>
        <w:t>7</w:t>
      </w:r>
      <w:r w:rsidRPr="008F6F75">
        <w:rPr>
          <w:rFonts w:ascii="ˎ̥" w:hAnsi="ˎ̥" w:cs="Arial"/>
          <w:color w:val="000000"/>
          <w:sz w:val="21"/>
          <w:szCs w:val="21"/>
          <w:lang w:val="en-US" w:eastAsia="zh-CN"/>
        </w:rPr>
        <w:t>月</w:t>
      </w:r>
      <w:r w:rsidRPr="008F6F75">
        <w:rPr>
          <w:rFonts w:ascii="ˎ̥" w:hAnsi="ˎ̥" w:cs="Arial"/>
          <w:color w:val="000000"/>
          <w:sz w:val="21"/>
          <w:szCs w:val="21"/>
          <w:lang w:val="en-US" w:eastAsia="zh-CN"/>
        </w:rPr>
        <w:t>1</w:t>
      </w:r>
      <w:r w:rsidRPr="008F6F75">
        <w:rPr>
          <w:rFonts w:ascii="ˎ̥" w:hAnsi="ˎ̥" w:cs="Arial"/>
          <w:color w:val="000000"/>
          <w:sz w:val="21"/>
          <w:szCs w:val="21"/>
          <w:lang w:val="en-US" w:eastAsia="zh-CN"/>
        </w:rPr>
        <w:t>日起施行。此前发布的化妆品新原料申报与审评相关规定与本指南不一致的，以本指南为准。</w:t>
      </w:r>
    </w:p>
    <w:p w:rsidR="00977A06" w:rsidRPr="008F6F75" w:rsidRDefault="008F6F75">
      <w:pPr>
        <w:rPr>
          <w:rFonts w:hint="eastAsia"/>
          <w:lang w:val="en-US" w:eastAsia="zh-CN"/>
        </w:rPr>
      </w:pPr>
      <w:r>
        <w:rPr>
          <w:rFonts w:hint="eastAsia"/>
          <w:lang w:val="en-US" w:eastAsia="zh-CN"/>
        </w:rPr>
        <w:t>原文链接：</w:t>
      </w:r>
      <w:r w:rsidRPr="008F6F75">
        <w:rPr>
          <w:lang w:val="en-US" w:eastAsia="zh-CN"/>
        </w:rPr>
        <w:t>http://www.sda.gov.cn/WS01/CL0846/61608.html</w:t>
      </w:r>
    </w:p>
    <w:sectPr w:rsidR="00977A06" w:rsidRPr="008F6F75" w:rsidSect="00977A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9B" w:rsidRDefault="006A7E9B" w:rsidP="008F6F75">
      <w:r>
        <w:separator/>
      </w:r>
    </w:p>
  </w:endnote>
  <w:endnote w:type="continuationSeparator" w:id="0">
    <w:p w:rsidR="006A7E9B" w:rsidRDefault="006A7E9B" w:rsidP="008F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9B" w:rsidRDefault="006A7E9B" w:rsidP="008F6F75">
      <w:r>
        <w:separator/>
      </w:r>
    </w:p>
  </w:footnote>
  <w:footnote w:type="continuationSeparator" w:id="0">
    <w:p w:rsidR="006A7E9B" w:rsidRDefault="006A7E9B" w:rsidP="008F6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6F75"/>
    <w:rsid w:val="0047138E"/>
    <w:rsid w:val="00612C57"/>
    <w:rsid w:val="006A7E9B"/>
    <w:rsid w:val="008F6F75"/>
    <w:rsid w:val="00977A06"/>
    <w:rsid w:val="00A90A89"/>
    <w:rsid w:val="00BA51CC"/>
    <w:rsid w:val="00E72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CC"/>
    <w:rPr>
      <w:rFonts w:ascii="Arial" w:hAnsi="Arial"/>
      <w:szCs w:val="24"/>
      <w:lang w:val="de-DE" w:eastAsia="de-DE"/>
    </w:rPr>
  </w:style>
  <w:style w:type="paragraph" w:styleId="1">
    <w:name w:val="heading 1"/>
    <w:basedOn w:val="a"/>
    <w:next w:val="a"/>
    <w:link w:val="1Char"/>
    <w:uiPriority w:val="9"/>
    <w:qFormat/>
    <w:rsid w:val="00BA51CC"/>
    <w:pPr>
      <w:keepNext/>
      <w:spacing w:before="240" w:after="60"/>
      <w:outlineLvl w:val="0"/>
    </w:pPr>
    <w:rPr>
      <w:rFonts w:cs="Arial"/>
      <w:b/>
      <w:bCs/>
      <w:kern w:val="32"/>
      <w:sz w:val="32"/>
      <w:szCs w:val="32"/>
    </w:rPr>
  </w:style>
  <w:style w:type="paragraph" w:styleId="2">
    <w:name w:val="heading 2"/>
    <w:basedOn w:val="a"/>
    <w:next w:val="a"/>
    <w:link w:val="2Char"/>
    <w:qFormat/>
    <w:rsid w:val="00BA51CC"/>
    <w:pPr>
      <w:keepNext/>
      <w:spacing w:before="240" w:after="60"/>
      <w:outlineLvl w:val="1"/>
    </w:pPr>
    <w:rPr>
      <w:rFonts w:cs="Arial"/>
      <w:b/>
      <w:bCs/>
      <w:i/>
      <w:iCs/>
      <w:sz w:val="28"/>
      <w:szCs w:val="28"/>
    </w:rPr>
  </w:style>
  <w:style w:type="paragraph" w:styleId="3">
    <w:name w:val="heading 3"/>
    <w:basedOn w:val="a"/>
    <w:next w:val="a"/>
    <w:link w:val="3Char"/>
    <w:qFormat/>
    <w:rsid w:val="00BA51CC"/>
    <w:pPr>
      <w:keepNext/>
      <w:spacing w:before="240" w:after="60"/>
      <w:outlineLvl w:val="2"/>
    </w:pPr>
    <w:rPr>
      <w:rFonts w:cs="Arial"/>
      <w:b/>
      <w:bCs/>
      <w:sz w:val="26"/>
      <w:szCs w:val="26"/>
    </w:rPr>
  </w:style>
  <w:style w:type="paragraph" w:styleId="4">
    <w:name w:val="heading 4"/>
    <w:basedOn w:val="a"/>
    <w:next w:val="a"/>
    <w:link w:val="4Char"/>
    <w:qFormat/>
    <w:rsid w:val="00BA51CC"/>
    <w:pPr>
      <w:keepNext/>
      <w:spacing w:before="240" w:after="60"/>
      <w:outlineLvl w:val="3"/>
    </w:pPr>
    <w:rPr>
      <w:b/>
      <w:bCs/>
      <w:sz w:val="28"/>
      <w:szCs w:val="28"/>
    </w:rPr>
  </w:style>
  <w:style w:type="paragraph" w:styleId="5">
    <w:name w:val="heading 5"/>
    <w:basedOn w:val="a"/>
    <w:next w:val="a"/>
    <w:link w:val="5Char"/>
    <w:qFormat/>
    <w:rsid w:val="00BA51CC"/>
    <w:pPr>
      <w:spacing w:before="240" w:after="60"/>
      <w:outlineLvl w:val="4"/>
    </w:pPr>
    <w:rPr>
      <w:b/>
      <w:bCs/>
      <w:i/>
      <w:iCs/>
      <w:sz w:val="26"/>
      <w:szCs w:val="26"/>
    </w:rPr>
  </w:style>
  <w:style w:type="paragraph" w:styleId="6">
    <w:name w:val="heading 6"/>
    <w:basedOn w:val="a"/>
    <w:next w:val="a"/>
    <w:link w:val="6Char"/>
    <w:qFormat/>
    <w:rsid w:val="00BA51CC"/>
    <w:pPr>
      <w:spacing w:before="240" w:after="60"/>
      <w:outlineLvl w:val="5"/>
    </w:pPr>
    <w:rPr>
      <w:b/>
      <w:bCs/>
      <w:sz w:val="22"/>
      <w:szCs w:val="22"/>
    </w:rPr>
  </w:style>
  <w:style w:type="paragraph" w:styleId="7">
    <w:name w:val="heading 7"/>
    <w:basedOn w:val="a"/>
    <w:next w:val="a"/>
    <w:link w:val="7Char"/>
    <w:qFormat/>
    <w:rsid w:val="00BA51CC"/>
    <w:pPr>
      <w:spacing w:before="240" w:after="60"/>
      <w:outlineLvl w:val="6"/>
    </w:pPr>
    <w:rPr>
      <w:sz w:val="24"/>
    </w:rPr>
  </w:style>
  <w:style w:type="paragraph" w:styleId="8">
    <w:name w:val="heading 8"/>
    <w:basedOn w:val="a"/>
    <w:next w:val="a"/>
    <w:link w:val="8Char"/>
    <w:qFormat/>
    <w:rsid w:val="00BA51CC"/>
    <w:pPr>
      <w:spacing w:before="240" w:after="60"/>
      <w:outlineLvl w:val="7"/>
    </w:pPr>
    <w:rPr>
      <w:i/>
      <w:iCs/>
      <w:sz w:val="24"/>
    </w:rPr>
  </w:style>
  <w:style w:type="paragraph" w:styleId="9">
    <w:name w:val="heading 9"/>
    <w:basedOn w:val="a"/>
    <w:next w:val="a"/>
    <w:link w:val="9Char"/>
    <w:qFormat/>
    <w:rsid w:val="00BA51CC"/>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A51CC"/>
    <w:rPr>
      <w:rFonts w:ascii="Arial" w:hAnsi="Arial" w:cs="Arial"/>
      <w:b/>
      <w:bCs/>
      <w:kern w:val="32"/>
      <w:sz w:val="32"/>
      <w:szCs w:val="32"/>
      <w:lang w:val="de-DE" w:eastAsia="de-DE"/>
    </w:rPr>
  </w:style>
  <w:style w:type="character" w:customStyle="1" w:styleId="2Char">
    <w:name w:val="标题 2 Char"/>
    <w:basedOn w:val="a0"/>
    <w:link w:val="2"/>
    <w:rsid w:val="00BA51CC"/>
    <w:rPr>
      <w:rFonts w:ascii="Arial" w:hAnsi="Arial" w:cs="Arial"/>
      <w:b/>
      <w:bCs/>
      <w:i/>
      <w:iCs/>
      <w:sz w:val="28"/>
      <w:szCs w:val="28"/>
      <w:lang w:val="de-DE" w:eastAsia="de-DE"/>
    </w:rPr>
  </w:style>
  <w:style w:type="character" w:customStyle="1" w:styleId="3Char">
    <w:name w:val="标题 3 Char"/>
    <w:basedOn w:val="a0"/>
    <w:link w:val="3"/>
    <w:rsid w:val="00BA51CC"/>
    <w:rPr>
      <w:rFonts w:ascii="Arial" w:hAnsi="Arial" w:cs="Arial"/>
      <w:b/>
      <w:bCs/>
      <w:sz w:val="26"/>
      <w:szCs w:val="26"/>
      <w:lang w:val="de-DE" w:eastAsia="de-DE"/>
    </w:rPr>
  </w:style>
  <w:style w:type="character" w:customStyle="1" w:styleId="4Char">
    <w:name w:val="标题 4 Char"/>
    <w:basedOn w:val="a0"/>
    <w:link w:val="4"/>
    <w:rsid w:val="00BA51CC"/>
    <w:rPr>
      <w:rFonts w:ascii="Arial" w:hAnsi="Arial"/>
      <w:b/>
      <w:bCs/>
      <w:sz w:val="28"/>
      <w:szCs w:val="28"/>
      <w:lang w:val="de-DE" w:eastAsia="de-DE"/>
    </w:rPr>
  </w:style>
  <w:style w:type="character" w:customStyle="1" w:styleId="5Char">
    <w:name w:val="标题 5 Char"/>
    <w:basedOn w:val="a0"/>
    <w:link w:val="5"/>
    <w:rsid w:val="00BA51CC"/>
    <w:rPr>
      <w:rFonts w:ascii="Arial" w:hAnsi="Arial"/>
      <w:b/>
      <w:bCs/>
      <w:i/>
      <w:iCs/>
      <w:sz w:val="26"/>
      <w:szCs w:val="26"/>
      <w:lang w:val="de-DE" w:eastAsia="de-DE"/>
    </w:rPr>
  </w:style>
  <w:style w:type="character" w:customStyle="1" w:styleId="6Char">
    <w:name w:val="标题 6 Char"/>
    <w:basedOn w:val="a0"/>
    <w:link w:val="6"/>
    <w:rsid w:val="00BA51CC"/>
    <w:rPr>
      <w:rFonts w:ascii="Arial" w:hAnsi="Arial"/>
      <w:b/>
      <w:bCs/>
      <w:sz w:val="22"/>
      <w:szCs w:val="22"/>
      <w:lang w:val="de-DE" w:eastAsia="de-DE"/>
    </w:rPr>
  </w:style>
  <w:style w:type="character" w:customStyle="1" w:styleId="7Char">
    <w:name w:val="标题 7 Char"/>
    <w:basedOn w:val="a0"/>
    <w:link w:val="7"/>
    <w:rsid w:val="00BA51CC"/>
    <w:rPr>
      <w:rFonts w:ascii="Arial" w:hAnsi="Arial"/>
      <w:sz w:val="24"/>
      <w:szCs w:val="24"/>
      <w:lang w:val="de-DE" w:eastAsia="de-DE"/>
    </w:rPr>
  </w:style>
  <w:style w:type="character" w:customStyle="1" w:styleId="8Char">
    <w:name w:val="标题 8 Char"/>
    <w:basedOn w:val="a0"/>
    <w:link w:val="8"/>
    <w:rsid w:val="00BA51CC"/>
    <w:rPr>
      <w:rFonts w:ascii="Arial" w:hAnsi="Arial"/>
      <w:i/>
      <w:iCs/>
      <w:sz w:val="24"/>
      <w:szCs w:val="24"/>
      <w:lang w:val="de-DE" w:eastAsia="de-DE"/>
    </w:rPr>
  </w:style>
  <w:style w:type="character" w:customStyle="1" w:styleId="9Char">
    <w:name w:val="标题 9 Char"/>
    <w:basedOn w:val="a0"/>
    <w:link w:val="9"/>
    <w:rsid w:val="00BA51CC"/>
    <w:rPr>
      <w:rFonts w:ascii="Arial" w:hAnsi="Arial" w:cs="Arial"/>
      <w:sz w:val="22"/>
      <w:szCs w:val="22"/>
      <w:lang w:val="de-DE" w:eastAsia="de-DE"/>
    </w:rPr>
  </w:style>
  <w:style w:type="paragraph" w:styleId="a3">
    <w:name w:val="caption"/>
    <w:basedOn w:val="a"/>
    <w:next w:val="a"/>
    <w:qFormat/>
    <w:rsid w:val="00BA51CC"/>
    <w:pPr>
      <w:spacing w:before="120" w:after="120"/>
    </w:pPr>
    <w:rPr>
      <w:b/>
      <w:bCs/>
      <w:szCs w:val="20"/>
    </w:rPr>
  </w:style>
  <w:style w:type="paragraph" w:styleId="a4">
    <w:name w:val="Title"/>
    <w:basedOn w:val="a"/>
    <w:link w:val="Char"/>
    <w:qFormat/>
    <w:rsid w:val="00BA51CC"/>
    <w:pPr>
      <w:spacing w:before="240" w:after="60"/>
      <w:jc w:val="center"/>
      <w:outlineLvl w:val="0"/>
    </w:pPr>
    <w:rPr>
      <w:rFonts w:cs="Arial"/>
      <w:b/>
      <w:bCs/>
      <w:kern w:val="28"/>
      <w:sz w:val="32"/>
      <w:szCs w:val="32"/>
    </w:rPr>
  </w:style>
  <w:style w:type="character" w:customStyle="1" w:styleId="Char">
    <w:name w:val="标题 Char"/>
    <w:basedOn w:val="a0"/>
    <w:link w:val="a4"/>
    <w:rsid w:val="00BA51CC"/>
    <w:rPr>
      <w:rFonts w:ascii="Arial" w:hAnsi="Arial" w:cs="Arial"/>
      <w:b/>
      <w:bCs/>
      <w:kern w:val="28"/>
      <w:sz w:val="32"/>
      <w:szCs w:val="32"/>
      <w:lang w:val="de-DE" w:eastAsia="de-DE"/>
    </w:rPr>
  </w:style>
  <w:style w:type="paragraph" w:styleId="a5">
    <w:name w:val="Subtitle"/>
    <w:basedOn w:val="a"/>
    <w:link w:val="Char0"/>
    <w:qFormat/>
    <w:rsid w:val="00BA51CC"/>
    <w:pPr>
      <w:spacing w:after="60"/>
      <w:jc w:val="center"/>
      <w:outlineLvl w:val="1"/>
    </w:pPr>
    <w:rPr>
      <w:rFonts w:cs="Arial"/>
      <w:sz w:val="24"/>
    </w:rPr>
  </w:style>
  <w:style w:type="character" w:customStyle="1" w:styleId="Char0">
    <w:name w:val="副标题 Char"/>
    <w:basedOn w:val="a0"/>
    <w:link w:val="a5"/>
    <w:rsid w:val="00BA51CC"/>
    <w:rPr>
      <w:rFonts w:ascii="Arial" w:hAnsi="Arial" w:cs="Arial"/>
      <w:sz w:val="24"/>
      <w:szCs w:val="24"/>
      <w:lang w:val="de-DE" w:eastAsia="de-DE"/>
    </w:rPr>
  </w:style>
  <w:style w:type="character" w:styleId="a6">
    <w:name w:val="Strong"/>
    <w:basedOn w:val="a0"/>
    <w:uiPriority w:val="22"/>
    <w:qFormat/>
    <w:rsid w:val="00BA51CC"/>
    <w:rPr>
      <w:rFonts w:ascii="Arial" w:hAnsi="Arial"/>
      <w:b/>
      <w:bCs/>
    </w:rPr>
  </w:style>
  <w:style w:type="character" w:styleId="a7">
    <w:name w:val="Emphasis"/>
    <w:basedOn w:val="a0"/>
    <w:qFormat/>
    <w:rsid w:val="00BA51CC"/>
    <w:rPr>
      <w:rFonts w:ascii="Arial" w:hAnsi="Arial"/>
      <w:i/>
      <w:iCs/>
    </w:rPr>
  </w:style>
  <w:style w:type="paragraph" w:styleId="a8">
    <w:name w:val="header"/>
    <w:basedOn w:val="a"/>
    <w:link w:val="Char1"/>
    <w:uiPriority w:val="99"/>
    <w:semiHidden/>
    <w:unhideWhenUsed/>
    <w:rsid w:val="008F6F7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8F6F75"/>
    <w:rPr>
      <w:rFonts w:ascii="Arial" w:hAnsi="Arial"/>
      <w:sz w:val="18"/>
      <w:szCs w:val="18"/>
      <w:lang w:val="de-DE" w:eastAsia="de-DE"/>
    </w:rPr>
  </w:style>
  <w:style w:type="paragraph" w:styleId="a9">
    <w:name w:val="footer"/>
    <w:basedOn w:val="a"/>
    <w:link w:val="Char2"/>
    <w:uiPriority w:val="99"/>
    <w:semiHidden/>
    <w:unhideWhenUsed/>
    <w:rsid w:val="008F6F75"/>
    <w:pPr>
      <w:tabs>
        <w:tab w:val="center" w:pos="4153"/>
        <w:tab w:val="right" w:pos="8306"/>
      </w:tabs>
      <w:snapToGrid w:val="0"/>
    </w:pPr>
    <w:rPr>
      <w:sz w:val="18"/>
      <w:szCs w:val="18"/>
    </w:rPr>
  </w:style>
  <w:style w:type="character" w:customStyle="1" w:styleId="Char2">
    <w:name w:val="页脚 Char"/>
    <w:basedOn w:val="a0"/>
    <w:link w:val="a9"/>
    <w:uiPriority w:val="99"/>
    <w:semiHidden/>
    <w:rsid w:val="008F6F75"/>
    <w:rPr>
      <w:rFonts w:ascii="Arial" w:hAnsi="Arial"/>
      <w:sz w:val="18"/>
      <w:szCs w:val="18"/>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509</Words>
  <Characters>2903</Characters>
  <Application>Microsoft Office Word</Application>
  <DocSecurity>0</DocSecurity>
  <Lines>24</Lines>
  <Paragraphs>6</Paragraphs>
  <ScaleCrop>false</ScaleCrop>
  <Company>微软中国</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2014-03-21T01:07:00Z</dcterms:created>
  <dcterms:modified xsi:type="dcterms:W3CDTF">2014-03-21T01:11:00Z</dcterms:modified>
</cp:coreProperties>
</file>